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FE" w:rsidRPr="003531BF" w:rsidRDefault="00C142FE" w:rsidP="003531BF">
      <w:pPr>
        <w:pStyle w:val="Nessunaspaziatura"/>
      </w:pPr>
    </w:p>
    <w:p w:rsidR="00A85EB9" w:rsidRPr="00A85EB9" w:rsidRDefault="00A85EB9" w:rsidP="00A85EB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16"/>
          <w:szCs w:val="12"/>
        </w:rPr>
      </w:pPr>
    </w:p>
    <w:p w:rsidR="00A85EB9" w:rsidRPr="00A85EB9" w:rsidRDefault="00A85EB9" w:rsidP="00A85EB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CC0000"/>
          <w:sz w:val="20"/>
          <w:szCs w:val="12"/>
        </w:rPr>
      </w:pPr>
      <w:r w:rsidRPr="00A85EB9">
        <w:rPr>
          <w:rFonts w:ascii="Verdana" w:eastAsia="Times New Roman" w:hAnsi="Verdana" w:cs="Times New Roman"/>
          <w:b/>
          <w:bCs/>
          <w:color w:val="CC0000"/>
          <w:sz w:val="20"/>
          <w:szCs w:val="12"/>
        </w:rPr>
        <w:t>L. 8-3-1968 n. 152.</w:t>
      </w:r>
    </w:p>
    <w:p w:rsidR="00A85EB9" w:rsidRPr="00A85EB9" w:rsidRDefault="00A85EB9" w:rsidP="00A85E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2"/>
        </w:rPr>
      </w:pPr>
      <w:r w:rsidRPr="00A85EB9">
        <w:rPr>
          <w:rFonts w:ascii="Verdana" w:eastAsia="Times New Roman" w:hAnsi="Verdana" w:cs="Times New Roman"/>
          <w:sz w:val="18"/>
          <w:szCs w:val="12"/>
        </w:rPr>
        <w:t>Nuove norme in materia previdenziale per il personale degli Enti locali.</w:t>
      </w:r>
      <w:r w:rsidRPr="00A85EB9">
        <w:rPr>
          <w:rFonts w:ascii="Verdana" w:eastAsia="Times New Roman" w:hAnsi="Verdana" w:cs="Times New Roman"/>
          <w:sz w:val="18"/>
          <w:szCs w:val="12"/>
        </w:rPr>
        <w:br/>
      </w:r>
      <w:r w:rsidRPr="00A85EB9">
        <w:rPr>
          <w:rFonts w:ascii="Verdana" w:eastAsia="Times New Roman" w:hAnsi="Verdana" w:cs="Times New Roman"/>
          <w:sz w:val="18"/>
          <w:szCs w:val="10"/>
        </w:rPr>
        <w:t xml:space="preserve">Pubblicata nella </w:t>
      </w:r>
      <w:proofErr w:type="spellStart"/>
      <w:r w:rsidRPr="00A85EB9">
        <w:rPr>
          <w:rFonts w:ascii="Verdana" w:eastAsia="Times New Roman" w:hAnsi="Verdana" w:cs="Times New Roman"/>
          <w:sz w:val="18"/>
          <w:szCs w:val="10"/>
        </w:rPr>
        <w:t>Gazz</w:t>
      </w:r>
      <w:proofErr w:type="spellEnd"/>
      <w:r w:rsidRPr="00A85EB9">
        <w:rPr>
          <w:rFonts w:ascii="Verdana" w:eastAsia="Times New Roman" w:hAnsi="Verdana" w:cs="Times New Roman"/>
          <w:sz w:val="18"/>
          <w:szCs w:val="10"/>
        </w:rPr>
        <w:t>. Uff. 18 marzo 1968, n. 73.</w:t>
      </w:r>
    </w:p>
    <w:p w:rsidR="00A85EB9" w:rsidRPr="00A85EB9" w:rsidRDefault="00A85EB9" w:rsidP="00A85E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b/>
          <w:bCs/>
          <w:sz w:val="18"/>
        </w:rPr>
        <w:t xml:space="preserve"> 11. </w:t>
      </w:r>
      <w:r w:rsidRPr="00A85EB9">
        <w:rPr>
          <w:rFonts w:ascii="Verdana" w:eastAsia="Times New Roman" w:hAnsi="Verdana" w:cs="Times New Roman"/>
          <w:i/>
          <w:iCs/>
          <w:sz w:val="18"/>
        </w:rPr>
        <w:t>Misura del contributo previdenziale.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Il contributo dovuto per ogni iscritto ai fini del trattamento di previdenza è stabilito, a decorrere dal 1° marzo 1966, nella misura del 5,00 per cento della retribuzione contributiva annua considerata in ragione dell'80 per cento; a decorrere dal 1° gennaio 1968 nella misura del 5.50 per cento; a decorrere dal 1° gennaio 1970 nella misura del 5,85 per cento.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A decorrere dal 1° gennaio 1972 l'aliquota contributiva è stabilita nella misura definitiva del 6,10 per cento.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Il contributo è così ripartito tra enti e iscritti: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dal 1° marzo 1966 a carico dell'ente 2,60 per cento; a carico dell'iscritto 2,40 per cento; in totale 5 per cento;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dal 1° gennaio 1968 a carico dell'ente 3,00 per cento; a carico dell'iscritto 2,50 per cento; in totale 5,50 per cento;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dal 1° gennaio 1970 in poi a carico dell'ente 3,35 per cento; a carico dell'iscritto 2,50 per cento; in totale 5,85 per cento;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ind w:left="284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dal 1° gennaio 1972 in poi a carico dell'ente 3,60 per cento; a carico dell'iscritto 2,50 per cento; in totale 6,10 per cento.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Per il personale non di ruolo iscrivibile all'Istituto ai sensi del precedente art. 1 l'obbligo del pagamento del contributo decorre dal primo giorno del mese successivo al verificarsi delle condizioni previste nell'articolo stesso.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La retribuzione contributiva è costituita dallo stipendio o salario comprensivo degli aumenti periodici, della tredicesima mensilità e del valore degli assegni in natura, spettanti per legge o regolamento e formanti parte integrante ed essenziale dello stipendio stesso. Il valore degli assegni in natura da computarsi per dodici mensilità, quando non risulti stabilito da esplicite norme, è determinato dal prefetto, sentiti gli enti interessati. </w:t>
      </w:r>
    </w:p>
    <w:p w:rsidR="00A85EB9" w:rsidRPr="00A85EB9" w:rsidRDefault="00A85EB9" w:rsidP="00A85E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Sono esclusi dalla contribuzione ai fini previdenziali compensi fissi dovuti ai sanitari ospedalieri, i quali pertanto non sono computabili agli effetti dell'indennità-premio di servizio e dell'assegno vitalizio. </w:t>
      </w:r>
    </w:p>
    <w:p w:rsidR="00A85EB9" w:rsidRPr="00A85EB9" w:rsidRDefault="00A85EB9" w:rsidP="00A85EB9">
      <w:pPr>
        <w:rPr>
          <w:rFonts w:ascii="Verdana" w:eastAsia="Times New Roman" w:hAnsi="Verdana" w:cs="Tahoma"/>
          <w:b/>
          <w:color w:val="00395E"/>
          <w:sz w:val="24"/>
          <w:szCs w:val="13"/>
        </w:rPr>
      </w:pPr>
      <w:r w:rsidRPr="00A85EB9">
        <w:rPr>
          <w:rFonts w:ascii="Verdana" w:eastAsia="Times New Roman" w:hAnsi="Verdana" w:cs="Times New Roman"/>
          <w:sz w:val="18"/>
          <w:szCs w:val="13"/>
        </w:rPr>
        <w:t xml:space="preserve">Le somme dovute dai comuni e dalle province a titolo di contributi arretrati dal 1° marzo al 31 dicembre 1966 saranno computabili ai fini della eventuale autorizzazione all'assunzione del mutuo a copertura del disavanzo economico ai sensi della </w:t>
      </w:r>
      <w:r w:rsidRPr="00FF5559">
        <w:rPr>
          <w:rFonts w:ascii="Verdana" w:eastAsia="Times New Roman" w:hAnsi="Verdana" w:cs="Times New Roman"/>
          <w:sz w:val="18"/>
          <w:szCs w:val="13"/>
        </w:rPr>
        <w:t>legge 6 agost</w:t>
      </w:r>
      <w:bookmarkStart w:id="0" w:name="_GoBack"/>
      <w:bookmarkEnd w:id="0"/>
      <w:r w:rsidRPr="00FF5559">
        <w:rPr>
          <w:rFonts w:ascii="Verdana" w:eastAsia="Times New Roman" w:hAnsi="Verdana" w:cs="Times New Roman"/>
          <w:sz w:val="18"/>
          <w:szCs w:val="13"/>
        </w:rPr>
        <w:t>o 1966, n. 637</w:t>
      </w:r>
      <w:r w:rsidRPr="00A85EB9">
        <w:rPr>
          <w:rFonts w:ascii="Verdana" w:eastAsia="Times New Roman" w:hAnsi="Verdana" w:cs="Times New Roman"/>
          <w:sz w:val="18"/>
          <w:szCs w:val="13"/>
        </w:rPr>
        <w:t>.</w:t>
      </w:r>
    </w:p>
    <w:sectPr w:rsidR="00A85EB9" w:rsidRPr="00A85EB9" w:rsidSect="007D0DBB">
      <w:head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31" w:rsidRDefault="00354731" w:rsidP="001240CC">
      <w:pPr>
        <w:spacing w:after="0" w:line="240" w:lineRule="auto"/>
      </w:pPr>
      <w:r>
        <w:separator/>
      </w:r>
    </w:p>
  </w:endnote>
  <w:endnote w:type="continuationSeparator" w:id="0">
    <w:p w:rsidR="00354731" w:rsidRDefault="00354731" w:rsidP="001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31" w:rsidRDefault="00354731" w:rsidP="001240CC">
      <w:pPr>
        <w:spacing w:after="0" w:line="240" w:lineRule="auto"/>
      </w:pPr>
      <w:r>
        <w:separator/>
      </w:r>
    </w:p>
  </w:footnote>
  <w:footnote w:type="continuationSeparator" w:id="0">
    <w:p w:rsidR="00354731" w:rsidRDefault="00354731" w:rsidP="0012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C" w:rsidRDefault="00374B77">
    <w:pPr>
      <w:pStyle w:val="Intestazione"/>
    </w:pPr>
    <w:r>
      <w:rPr>
        <w:noProof/>
      </w:rPr>
      <w:drawing>
        <wp:inline distT="0" distB="0" distL="0" distR="0">
          <wp:extent cx="1695338" cy="468000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e Principale_nuov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3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>
          <wp:extent cx="1376471" cy="468000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7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9AB"/>
    <w:multiLevelType w:val="hybridMultilevel"/>
    <w:tmpl w:val="42E49A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A551FF"/>
    <w:multiLevelType w:val="hybridMultilevel"/>
    <w:tmpl w:val="F5E04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51DD"/>
    <w:multiLevelType w:val="hybridMultilevel"/>
    <w:tmpl w:val="0716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94CEB"/>
    <w:multiLevelType w:val="hybridMultilevel"/>
    <w:tmpl w:val="1F5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1435"/>
    <w:multiLevelType w:val="hybridMultilevel"/>
    <w:tmpl w:val="AE00CF24"/>
    <w:lvl w:ilvl="0" w:tplc="9898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5B3"/>
    <w:multiLevelType w:val="hybridMultilevel"/>
    <w:tmpl w:val="BBA6807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A4AAC"/>
    <w:multiLevelType w:val="hybridMultilevel"/>
    <w:tmpl w:val="D9E2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75D5"/>
    <w:multiLevelType w:val="hybridMultilevel"/>
    <w:tmpl w:val="5C48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70A5F"/>
    <w:multiLevelType w:val="hybridMultilevel"/>
    <w:tmpl w:val="2D72B83A"/>
    <w:lvl w:ilvl="0" w:tplc="9898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6568"/>
    <w:multiLevelType w:val="hybridMultilevel"/>
    <w:tmpl w:val="4822AF66"/>
    <w:lvl w:ilvl="0" w:tplc="10480E1A">
      <w:numFmt w:val="bullet"/>
      <w:lvlText w:val="-"/>
      <w:lvlJc w:val="left"/>
      <w:pPr>
        <w:ind w:left="1077" w:hanging="360"/>
      </w:pPr>
      <w:rPr>
        <w:rFonts w:ascii="Arial" w:eastAsia="Arial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C0644"/>
    <w:multiLevelType w:val="hybridMultilevel"/>
    <w:tmpl w:val="11B2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908BE"/>
    <w:multiLevelType w:val="hybridMultilevel"/>
    <w:tmpl w:val="044C5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068C9"/>
    <w:multiLevelType w:val="hybridMultilevel"/>
    <w:tmpl w:val="70107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671A"/>
    <w:multiLevelType w:val="hybridMultilevel"/>
    <w:tmpl w:val="514AE42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EE52B1"/>
    <w:multiLevelType w:val="hybridMultilevel"/>
    <w:tmpl w:val="1A78D142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3EE4146"/>
    <w:multiLevelType w:val="hybridMultilevel"/>
    <w:tmpl w:val="97DC7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44D46"/>
    <w:multiLevelType w:val="hybridMultilevel"/>
    <w:tmpl w:val="792A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897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F5773"/>
    <w:multiLevelType w:val="hybridMultilevel"/>
    <w:tmpl w:val="5C6A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976EC"/>
    <w:multiLevelType w:val="hybridMultilevel"/>
    <w:tmpl w:val="F5986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5B3"/>
    <w:rsid w:val="000134AC"/>
    <w:rsid w:val="000160A5"/>
    <w:rsid w:val="00020E6A"/>
    <w:rsid w:val="00022AC9"/>
    <w:rsid w:val="000303FB"/>
    <w:rsid w:val="00035A32"/>
    <w:rsid w:val="000372D7"/>
    <w:rsid w:val="00041876"/>
    <w:rsid w:val="000D3189"/>
    <w:rsid w:val="000F571D"/>
    <w:rsid w:val="00100FD8"/>
    <w:rsid w:val="00110C8A"/>
    <w:rsid w:val="001202AC"/>
    <w:rsid w:val="00120AFC"/>
    <w:rsid w:val="001240CC"/>
    <w:rsid w:val="00124F3D"/>
    <w:rsid w:val="00124FC8"/>
    <w:rsid w:val="00125329"/>
    <w:rsid w:val="00152539"/>
    <w:rsid w:val="00154BD4"/>
    <w:rsid w:val="001554B8"/>
    <w:rsid w:val="00161197"/>
    <w:rsid w:val="00164AE5"/>
    <w:rsid w:val="00164FE0"/>
    <w:rsid w:val="0017683B"/>
    <w:rsid w:val="00177178"/>
    <w:rsid w:val="00180C29"/>
    <w:rsid w:val="001B206E"/>
    <w:rsid w:val="001B3399"/>
    <w:rsid w:val="001B5EF7"/>
    <w:rsid w:val="001B7D22"/>
    <w:rsid w:val="001C2CC8"/>
    <w:rsid w:val="001D771F"/>
    <w:rsid w:val="001E3848"/>
    <w:rsid w:val="00210AE8"/>
    <w:rsid w:val="00217586"/>
    <w:rsid w:val="00221051"/>
    <w:rsid w:val="00223859"/>
    <w:rsid w:val="00237460"/>
    <w:rsid w:val="00246F8C"/>
    <w:rsid w:val="00252863"/>
    <w:rsid w:val="00264271"/>
    <w:rsid w:val="00270534"/>
    <w:rsid w:val="00297C28"/>
    <w:rsid w:val="002A4408"/>
    <w:rsid w:val="002A5652"/>
    <w:rsid w:val="002B34D2"/>
    <w:rsid w:val="002D0080"/>
    <w:rsid w:val="002E2935"/>
    <w:rsid w:val="002E2D71"/>
    <w:rsid w:val="002E3103"/>
    <w:rsid w:val="002F2DDD"/>
    <w:rsid w:val="002F4EE8"/>
    <w:rsid w:val="003052A3"/>
    <w:rsid w:val="0031715A"/>
    <w:rsid w:val="003301AA"/>
    <w:rsid w:val="0033101E"/>
    <w:rsid w:val="00334CED"/>
    <w:rsid w:val="003531BF"/>
    <w:rsid w:val="00354731"/>
    <w:rsid w:val="00371093"/>
    <w:rsid w:val="00372178"/>
    <w:rsid w:val="00374B77"/>
    <w:rsid w:val="00375F8F"/>
    <w:rsid w:val="00384DBE"/>
    <w:rsid w:val="00394AB4"/>
    <w:rsid w:val="003979E9"/>
    <w:rsid w:val="003B069B"/>
    <w:rsid w:val="003B1FB9"/>
    <w:rsid w:val="003B48BE"/>
    <w:rsid w:val="003C4122"/>
    <w:rsid w:val="003C741B"/>
    <w:rsid w:val="003E1E6A"/>
    <w:rsid w:val="003F374D"/>
    <w:rsid w:val="0041306D"/>
    <w:rsid w:val="00414C71"/>
    <w:rsid w:val="004244BF"/>
    <w:rsid w:val="004353BC"/>
    <w:rsid w:val="00454B4D"/>
    <w:rsid w:val="0046205A"/>
    <w:rsid w:val="0049516C"/>
    <w:rsid w:val="004956DA"/>
    <w:rsid w:val="004A1866"/>
    <w:rsid w:val="004B3613"/>
    <w:rsid w:val="004B487A"/>
    <w:rsid w:val="004B60AF"/>
    <w:rsid w:val="004C67A2"/>
    <w:rsid w:val="004C67F0"/>
    <w:rsid w:val="004D2554"/>
    <w:rsid w:val="00527F5C"/>
    <w:rsid w:val="00542081"/>
    <w:rsid w:val="005544FB"/>
    <w:rsid w:val="0055629B"/>
    <w:rsid w:val="005647D6"/>
    <w:rsid w:val="0057369F"/>
    <w:rsid w:val="00580C11"/>
    <w:rsid w:val="005A0806"/>
    <w:rsid w:val="005A45F9"/>
    <w:rsid w:val="005A6994"/>
    <w:rsid w:val="005A7877"/>
    <w:rsid w:val="005B0693"/>
    <w:rsid w:val="005B5ADB"/>
    <w:rsid w:val="005C6F57"/>
    <w:rsid w:val="005E24DE"/>
    <w:rsid w:val="005E6542"/>
    <w:rsid w:val="00604E9D"/>
    <w:rsid w:val="00615430"/>
    <w:rsid w:val="00631492"/>
    <w:rsid w:val="00654DBC"/>
    <w:rsid w:val="00662812"/>
    <w:rsid w:val="006705F7"/>
    <w:rsid w:val="00686F42"/>
    <w:rsid w:val="006B0CD6"/>
    <w:rsid w:val="006B3C62"/>
    <w:rsid w:val="006C4BA5"/>
    <w:rsid w:val="006C7214"/>
    <w:rsid w:val="006D27B2"/>
    <w:rsid w:val="006D319A"/>
    <w:rsid w:val="006E632A"/>
    <w:rsid w:val="006F7AE7"/>
    <w:rsid w:val="0072726B"/>
    <w:rsid w:val="0073008C"/>
    <w:rsid w:val="00745E38"/>
    <w:rsid w:val="0074611C"/>
    <w:rsid w:val="00751277"/>
    <w:rsid w:val="0077500D"/>
    <w:rsid w:val="007C20E3"/>
    <w:rsid w:val="007C4B07"/>
    <w:rsid w:val="007C71E6"/>
    <w:rsid w:val="007D0DBB"/>
    <w:rsid w:val="007E5154"/>
    <w:rsid w:val="007E6879"/>
    <w:rsid w:val="007E6FD8"/>
    <w:rsid w:val="007E7772"/>
    <w:rsid w:val="00814CF4"/>
    <w:rsid w:val="00824B9D"/>
    <w:rsid w:val="00830991"/>
    <w:rsid w:val="00846A20"/>
    <w:rsid w:val="008470ED"/>
    <w:rsid w:val="00854A6D"/>
    <w:rsid w:val="00856C31"/>
    <w:rsid w:val="0085737C"/>
    <w:rsid w:val="00864334"/>
    <w:rsid w:val="00865796"/>
    <w:rsid w:val="00877D41"/>
    <w:rsid w:val="008A5A81"/>
    <w:rsid w:val="008C0B09"/>
    <w:rsid w:val="008C14A8"/>
    <w:rsid w:val="008D20B4"/>
    <w:rsid w:val="008D2970"/>
    <w:rsid w:val="008D78A7"/>
    <w:rsid w:val="008E6A40"/>
    <w:rsid w:val="008F0DCF"/>
    <w:rsid w:val="008F2D23"/>
    <w:rsid w:val="008F454F"/>
    <w:rsid w:val="009167E5"/>
    <w:rsid w:val="00934427"/>
    <w:rsid w:val="00937BC0"/>
    <w:rsid w:val="009506EC"/>
    <w:rsid w:val="0095270D"/>
    <w:rsid w:val="00970A6F"/>
    <w:rsid w:val="00980E90"/>
    <w:rsid w:val="009B7F71"/>
    <w:rsid w:val="009C3B9B"/>
    <w:rsid w:val="009D53FC"/>
    <w:rsid w:val="009D74FA"/>
    <w:rsid w:val="009E011A"/>
    <w:rsid w:val="009E23B9"/>
    <w:rsid w:val="009E4B14"/>
    <w:rsid w:val="009E4C51"/>
    <w:rsid w:val="009E67F0"/>
    <w:rsid w:val="00A25B47"/>
    <w:rsid w:val="00A465B3"/>
    <w:rsid w:val="00A47FB1"/>
    <w:rsid w:val="00A53DBA"/>
    <w:rsid w:val="00A64F55"/>
    <w:rsid w:val="00A722B9"/>
    <w:rsid w:val="00A85346"/>
    <w:rsid w:val="00A85EB9"/>
    <w:rsid w:val="00A95788"/>
    <w:rsid w:val="00A9757A"/>
    <w:rsid w:val="00A97C50"/>
    <w:rsid w:val="00AA1697"/>
    <w:rsid w:val="00AD18CA"/>
    <w:rsid w:val="00AD3C6B"/>
    <w:rsid w:val="00AD5669"/>
    <w:rsid w:val="00AE3025"/>
    <w:rsid w:val="00AE747B"/>
    <w:rsid w:val="00AE7AB6"/>
    <w:rsid w:val="00B12627"/>
    <w:rsid w:val="00B25594"/>
    <w:rsid w:val="00B273E1"/>
    <w:rsid w:val="00B30BAB"/>
    <w:rsid w:val="00B316E4"/>
    <w:rsid w:val="00B81540"/>
    <w:rsid w:val="00B83D83"/>
    <w:rsid w:val="00BA0F5C"/>
    <w:rsid w:val="00BD64E6"/>
    <w:rsid w:val="00BE2EDF"/>
    <w:rsid w:val="00BF5D0A"/>
    <w:rsid w:val="00BF6F41"/>
    <w:rsid w:val="00BF73A1"/>
    <w:rsid w:val="00C0543B"/>
    <w:rsid w:val="00C107EB"/>
    <w:rsid w:val="00C142FE"/>
    <w:rsid w:val="00C308AE"/>
    <w:rsid w:val="00C453E1"/>
    <w:rsid w:val="00C62882"/>
    <w:rsid w:val="00C769F2"/>
    <w:rsid w:val="00C80A54"/>
    <w:rsid w:val="00C84D60"/>
    <w:rsid w:val="00C874D5"/>
    <w:rsid w:val="00C9672E"/>
    <w:rsid w:val="00C96D83"/>
    <w:rsid w:val="00C97FC8"/>
    <w:rsid w:val="00CC6650"/>
    <w:rsid w:val="00D0666A"/>
    <w:rsid w:val="00D06977"/>
    <w:rsid w:val="00D12BDC"/>
    <w:rsid w:val="00D12C2A"/>
    <w:rsid w:val="00D2298C"/>
    <w:rsid w:val="00D43B9F"/>
    <w:rsid w:val="00D51695"/>
    <w:rsid w:val="00D60BBE"/>
    <w:rsid w:val="00D6627A"/>
    <w:rsid w:val="00D76841"/>
    <w:rsid w:val="00D83BBB"/>
    <w:rsid w:val="00D83FEB"/>
    <w:rsid w:val="00D92DFC"/>
    <w:rsid w:val="00D96595"/>
    <w:rsid w:val="00DA0716"/>
    <w:rsid w:val="00DC2A42"/>
    <w:rsid w:val="00DD29BA"/>
    <w:rsid w:val="00DE4F3A"/>
    <w:rsid w:val="00DE6715"/>
    <w:rsid w:val="00DE6FB7"/>
    <w:rsid w:val="00DF7261"/>
    <w:rsid w:val="00E0488E"/>
    <w:rsid w:val="00E11046"/>
    <w:rsid w:val="00E1362B"/>
    <w:rsid w:val="00E16C69"/>
    <w:rsid w:val="00E26B6E"/>
    <w:rsid w:val="00E32F3F"/>
    <w:rsid w:val="00E353BD"/>
    <w:rsid w:val="00E448F2"/>
    <w:rsid w:val="00E745AB"/>
    <w:rsid w:val="00E82046"/>
    <w:rsid w:val="00E9549E"/>
    <w:rsid w:val="00EB0668"/>
    <w:rsid w:val="00EB7D22"/>
    <w:rsid w:val="00EC2FB3"/>
    <w:rsid w:val="00EC308C"/>
    <w:rsid w:val="00F021DB"/>
    <w:rsid w:val="00F229C2"/>
    <w:rsid w:val="00F3552B"/>
    <w:rsid w:val="00F54CF3"/>
    <w:rsid w:val="00F56AA7"/>
    <w:rsid w:val="00F74D14"/>
    <w:rsid w:val="00F77BB2"/>
    <w:rsid w:val="00F838C5"/>
    <w:rsid w:val="00F90B2B"/>
    <w:rsid w:val="00F90CF2"/>
    <w:rsid w:val="00FA0078"/>
    <w:rsid w:val="00FB0841"/>
    <w:rsid w:val="00FC35D9"/>
    <w:rsid w:val="00FC7231"/>
    <w:rsid w:val="00FD4701"/>
    <w:rsid w:val="00FF484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A42"/>
  </w:style>
  <w:style w:type="paragraph" w:styleId="Titolo1">
    <w:name w:val="heading 1"/>
    <w:basedOn w:val="Normale"/>
    <w:next w:val="Normale"/>
    <w:link w:val="Titolo1Carattere"/>
    <w:uiPriority w:val="9"/>
    <w:qFormat/>
    <w:rsid w:val="0037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5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B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0B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2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0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C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C0B0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0B09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0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C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CF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2E293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B34D2"/>
    <w:rPr>
      <w:b/>
      <w:bCs/>
    </w:rPr>
  </w:style>
  <w:style w:type="paragraph" w:styleId="Revisione">
    <w:name w:val="Revision"/>
    <w:hidden/>
    <w:uiPriority w:val="99"/>
    <w:semiHidden/>
    <w:rsid w:val="004B60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4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74D14"/>
  </w:style>
  <w:style w:type="character" w:styleId="Collegamentoipertestuale">
    <w:name w:val="Hyperlink"/>
    <w:basedOn w:val="Carpredefinitoparagrafo"/>
    <w:uiPriority w:val="99"/>
    <w:unhideWhenUsed/>
    <w:rsid w:val="00BE2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5B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B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30BA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2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0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0C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8C0B0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C0B09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3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90C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C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C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C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CF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2E2935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2B34D2"/>
    <w:rPr>
      <w:b/>
      <w:bCs/>
    </w:rPr>
  </w:style>
  <w:style w:type="paragraph" w:styleId="Revisione">
    <w:name w:val="Revision"/>
    <w:hidden/>
    <w:uiPriority w:val="99"/>
    <w:semiHidden/>
    <w:rsid w:val="004B60A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7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3868">
                      <w:marLeft w:val="3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1613">
                              <w:marLeft w:val="3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193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30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7F86-F259-4883-B347-1F08ABB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18</vt:i4>
      </vt:variant>
    </vt:vector>
  </HeadingPairs>
  <TitlesOfParts>
    <vt:vector size="19" baseType="lpstr">
      <vt:lpstr/>
      <vt:lpstr>Testo:</vt:lpstr>
      <vt:lpstr>Tra le modalità di riscossione dello stipendio previste dal sistema NoiPA è oggi</vt:lpstr>
      <vt:lpstr/>
      <vt:lpstr>Cos’è una carta conto?</vt:lpstr>
      <vt:lpstr>La carta conto è una carta prepagata ricaricabile, attraverso la quale è possibi</vt:lpstr>
      <vt:lpstr/>
      <vt:lpstr>Qual è l’area SEPA?</vt:lpstr>
      <vt:lpstr>La SEPA, Single Euro Single Area (Area Unica dei Pagamenti in Euro) è l'area all</vt:lpstr>
      <vt:lpstr>Sono 31 i paesi europei che fanno parte della SEPA. Per saperne di più clicca qu</vt:lpstr>
      <vt:lpstr/>
      <vt:lpstr>Modalità di riscossione dello stipendio</vt:lpstr>
      <vt:lpstr>Per poter ricevere bonifici da parte del sistema NoiPA, utilizzando la carta con</vt:lpstr>
      <vt:lpstr/>
      <vt:lpstr>Si ricorda che, attraverso il servizio self service "Modalità di riscossione”, è</vt:lpstr>
      <vt:lpstr>Per ulteriori informazioni sul servizio self service “Modalità di riscossione de</vt:lpstr>
      <vt:lpstr/>
      <vt:lpstr/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S.Rori@almawave.it</dc:creator>
  <cp:lastModifiedBy>Salvitti Stelio</cp:lastModifiedBy>
  <cp:revision>6</cp:revision>
  <cp:lastPrinted>2013-10-09T15:05:00Z</cp:lastPrinted>
  <dcterms:created xsi:type="dcterms:W3CDTF">2014-03-07T09:47:00Z</dcterms:created>
  <dcterms:modified xsi:type="dcterms:W3CDTF">2014-03-13T16:10:00Z</dcterms:modified>
</cp:coreProperties>
</file>