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FE" w:rsidRDefault="00C142FE" w:rsidP="003531BF">
      <w:pPr>
        <w:pStyle w:val="Nessunaspaziatura"/>
      </w:pPr>
    </w:p>
    <w:p w:rsidR="004F5143" w:rsidRDefault="004F5143" w:rsidP="004F5143">
      <w:pPr>
        <w:spacing w:after="0"/>
        <w:rPr>
          <w:rFonts w:ascii="Calibri" w:eastAsia="Times New Roman" w:hAnsi="Calibri" w:cs="Segoe UI"/>
          <w:color w:val="FF0000"/>
          <w:sz w:val="24"/>
          <w:szCs w:val="24"/>
        </w:rPr>
      </w:pPr>
    </w:p>
    <w:p w:rsidR="00797F81" w:rsidRDefault="004F5143" w:rsidP="004F5143">
      <w:pPr>
        <w:spacing w:after="0"/>
        <w:rPr>
          <w:rFonts w:ascii="Verdana" w:hAnsi="Verdana"/>
          <w:sz w:val="18"/>
          <w:szCs w:val="18"/>
        </w:rPr>
      </w:pPr>
      <w:r w:rsidRPr="004F5143">
        <w:rPr>
          <w:rFonts w:ascii="Verdana" w:hAnsi="Verdana"/>
          <w:b/>
          <w:bCs/>
          <w:color w:val="CC0000"/>
          <w:sz w:val="20"/>
          <w:szCs w:val="13"/>
        </w:rPr>
        <w:t>L. 23-12-1998 n. 448</w:t>
      </w:r>
      <w:r>
        <w:rPr>
          <w:rFonts w:ascii="Verdana" w:hAnsi="Verdana"/>
          <w:sz w:val="13"/>
          <w:szCs w:val="13"/>
        </w:rPr>
        <w:br/>
      </w:r>
    </w:p>
    <w:p w:rsidR="004F5143" w:rsidRPr="00E63A39" w:rsidRDefault="004F5143" w:rsidP="004F5143">
      <w:pPr>
        <w:spacing w:after="0"/>
        <w:rPr>
          <w:rFonts w:ascii="Verdana" w:hAnsi="Verdana"/>
          <w:sz w:val="18"/>
          <w:szCs w:val="18"/>
        </w:rPr>
      </w:pPr>
      <w:r w:rsidRPr="00E63A39">
        <w:rPr>
          <w:rFonts w:ascii="Verdana" w:hAnsi="Verdana"/>
          <w:sz w:val="18"/>
          <w:szCs w:val="18"/>
        </w:rPr>
        <w:t>Misure di finanza pubblica per la stabilizzazione e lo sviluppo.</w:t>
      </w:r>
      <w:r w:rsidRPr="00E63A39">
        <w:rPr>
          <w:rFonts w:ascii="Verdana" w:hAnsi="Verdana"/>
          <w:sz w:val="18"/>
          <w:szCs w:val="18"/>
        </w:rPr>
        <w:br/>
        <w:t xml:space="preserve">Pubblicata nella </w:t>
      </w:r>
      <w:proofErr w:type="spellStart"/>
      <w:r w:rsidRPr="00E63A39">
        <w:rPr>
          <w:rFonts w:ascii="Verdana" w:hAnsi="Verdana"/>
          <w:sz w:val="18"/>
          <w:szCs w:val="18"/>
        </w:rPr>
        <w:t>Gazz</w:t>
      </w:r>
      <w:proofErr w:type="spellEnd"/>
      <w:r w:rsidRPr="00E63A39">
        <w:rPr>
          <w:rFonts w:ascii="Verdana" w:hAnsi="Verdana"/>
          <w:sz w:val="18"/>
          <w:szCs w:val="18"/>
        </w:rPr>
        <w:t>. Uff. 29 dicembre 1998, n. 302, S.O.</w:t>
      </w:r>
    </w:p>
    <w:p w:rsidR="004F5143" w:rsidRPr="00E63A39" w:rsidRDefault="004F5143" w:rsidP="004F5143">
      <w:pPr>
        <w:spacing w:after="0"/>
        <w:rPr>
          <w:rFonts w:ascii="Calibri" w:eastAsia="Times New Roman" w:hAnsi="Calibri" w:cs="Segoe UI"/>
          <w:sz w:val="18"/>
          <w:szCs w:val="18"/>
        </w:rPr>
      </w:pPr>
    </w:p>
    <w:p w:rsidR="004F5143" w:rsidRPr="00E63A39" w:rsidRDefault="004F5143" w:rsidP="004F5143">
      <w:pPr>
        <w:spacing w:after="0"/>
        <w:rPr>
          <w:rStyle w:val="provvrubrica"/>
          <w:rFonts w:ascii="Verdana" w:hAnsi="Verdana"/>
          <w:sz w:val="18"/>
          <w:szCs w:val="18"/>
        </w:rPr>
      </w:pPr>
      <w:r w:rsidRPr="00E63A39">
        <w:rPr>
          <w:rStyle w:val="provvnumart"/>
          <w:rFonts w:ascii="Verdana" w:hAnsi="Verdana"/>
          <w:sz w:val="18"/>
          <w:szCs w:val="18"/>
        </w:rPr>
        <w:t>Art. 26.</w:t>
      </w:r>
      <w:r w:rsidRPr="00E63A39">
        <w:rPr>
          <w:rStyle w:val="provvrubrica"/>
          <w:rFonts w:ascii="Verdana" w:hAnsi="Verdana"/>
          <w:sz w:val="18"/>
          <w:szCs w:val="18"/>
        </w:rPr>
        <w:t>Norme di interpretazione autentica, di utilizzazione del personale scolastico e trattamento di fine rapporto.</w:t>
      </w:r>
    </w:p>
    <w:p w:rsidR="004F5143" w:rsidRPr="00E63A39" w:rsidRDefault="004F5143" w:rsidP="004F5143">
      <w:pPr>
        <w:spacing w:after="0"/>
        <w:rPr>
          <w:rFonts w:ascii="Calibri" w:eastAsia="Times New Roman" w:hAnsi="Calibri" w:cs="Segoe UI"/>
          <w:sz w:val="18"/>
          <w:szCs w:val="18"/>
        </w:rPr>
      </w:pPr>
    </w:p>
    <w:p w:rsidR="004F5143" w:rsidRPr="00E63A39" w:rsidRDefault="004F5143" w:rsidP="004F5143">
      <w:pPr>
        <w:pStyle w:val="provvr0"/>
        <w:rPr>
          <w:rFonts w:ascii="Verdana" w:hAnsi="Verdana"/>
          <w:sz w:val="18"/>
          <w:szCs w:val="18"/>
        </w:rPr>
      </w:pPr>
      <w:r w:rsidRPr="00E63A39">
        <w:rPr>
          <w:rFonts w:ascii="Verdana" w:hAnsi="Verdana"/>
          <w:sz w:val="18"/>
          <w:szCs w:val="18"/>
        </w:rPr>
        <w:t>1. Il quinto comma dell'</w:t>
      </w:r>
      <w:r w:rsidRPr="00E63A39">
        <w:rPr>
          <w:rFonts w:ascii="Verdana" w:hAnsi="Verdana"/>
          <w:i/>
          <w:iCs/>
          <w:sz w:val="18"/>
          <w:szCs w:val="18"/>
        </w:rPr>
        <w:t>articolo 36 del decreto del Presidente della Repubblica 11 luglio 1980, n. 382</w:t>
      </w:r>
      <w:r w:rsidRPr="00E63A39">
        <w:rPr>
          <w:rFonts w:ascii="Verdana" w:hAnsi="Verdana"/>
          <w:sz w:val="18"/>
          <w:szCs w:val="18"/>
        </w:rPr>
        <w:t xml:space="preserve">, si interpreta nel senso che la parità di posizione prima del giudizio di conferma fra professori di prima fascia e professori di seconda fascia, ai fini della determinazione dello stipendio di questi ultimi nella misura percentuale ivi indicata, si riferisce, rispettivamente, alla qualifica di professore straordinario ed a quella di professore associato non confermato. </w:t>
      </w:r>
    </w:p>
    <w:p w:rsidR="004F5143" w:rsidRPr="00E63A39" w:rsidRDefault="004F5143" w:rsidP="004F5143">
      <w:pPr>
        <w:pStyle w:val="provvr0"/>
        <w:rPr>
          <w:rFonts w:ascii="Verdana" w:hAnsi="Verdana"/>
          <w:sz w:val="18"/>
          <w:szCs w:val="18"/>
        </w:rPr>
      </w:pPr>
      <w:r w:rsidRPr="00E63A39">
        <w:rPr>
          <w:rFonts w:ascii="Verdana" w:hAnsi="Verdana"/>
          <w:sz w:val="18"/>
          <w:szCs w:val="18"/>
        </w:rPr>
        <w:t>2. Il terzo comma dell'</w:t>
      </w:r>
      <w:r w:rsidRPr="00E63A39">
        <w:rPr>
          <w:rFonts w:ascii="Verdana" w:hAnsi="Verdana"/>
          <w:i/>
          <w:iCs/>
          <w:sz w:val="18"/>
          <w:szCs w:val="18"/>
        </w:rPr>
        <w:t>articolo 37 del decreto del Presidente della Repubblica 11 luglio 1980, n. 382</w:t>
      </w:r>
      <w:r w:rsidRPr="00E63A39">
        <w:rPr>
          <w:rFonts w:ascii="Verdana" w:hAnsi="Verdana"/>
          <w:sz w:val="18"/>
          <w:szCs w:val="18"/>
        </w:rPr>
        <w:t xml:space="preserve">, si interpreta nel senso che a coloro che hanno superato il giudizio di idoneità a professore associato e che sono esonerati ai sensi dell'articolo 111 del predetto decreto dal giudizio di conferma è attribuito il trattamento economico spettante ai professori associati all'atto del conseguimento della conferma in ruolo. </w:t>
      </w:r>
    </w:p>
    <w:p w:rsidR="004F5143" w:rsidRPr="00E63A39" w:rsidRDefault="004F5143" w:rsidP="004F5143">
      <w:pPr>
        <w:pStyle w:val="provvr0"/>
        <w:rPr>
          <w:rFonts w:ascii="Verdana" w:hAnsi="Verdana"/>
          <w:sz w:val="18"/>
          <w:szCs w:val="18"/>
        </w:rPr>
      </w:pPr>
      <w:r w:rsidRPr="00E63A39">
        <w:rPr>
          <w:rFonts w:ascii="Verdana" w:hAnsi="Verdana"/>
          <w:sz w:val="18"/>
          <w:szCs w:val="18"/>
        </w:rPr>
        <w:t>3. L'</w:t>
      </w:r>
      <w:r w:rsidRPr="00E63A39">
        <w:rPr>
          <w:rFonts w:ascii="Verdana" w:hAnsi="Verdana"/>
          <w:i/>
          <w:iCs/>
          <w:sz w:val="18"/>
          <w:szCs w:val="18"/>
        </w:rPr>
        <w:t>articolo 1 del decreto-legge 10 maggio 1986, n. 154</w:t>
      </w:r>
      <w:r w:rsidRPr="00E63A39">
        <w:rPr>
          <w:rFonts w:ascii="Verdana" w:hAnsi="Verdana"/>
          <w:sz w:val="18"/>
          <w:szCs w:val="18"/>
        </w:rPr>
        <w:t xml:space="preserve">, convertito, con modificazioni, dalla </w:t>
      </w:r>
      <w:r w:rsidRPr="00E63A39">
        <w:rPr>
          <w:rFonts w:ascii="Verdana" w:hAnsi="Verdana"/>
          <w:i/>
          <w:iCs/>
          <w:sz w:val="18"/>
          <w:szCs w:val="18"/>
        </w:rPr>
        <w:t>legge 11 luglio 1986, n. 341</w:t>
      </w:r>
      <w:r w:rsidRPr="00E63A39">
        <w:rPr>
          <w:rFonts w:ascii="Verdana" w:hAnsi="Verdana"/>
          <w:sz w:val="18"/>
          <w:szCs w:val="18"/>
        </w:rPr>
        <w:t>, si interpreta nel senso che l'incremento del 42 per cento, a decorrere dal 1° maggio 1986, del trattamento economico dei dirigenti dello Stato e delle categorie di personale ad essi equiparate non produce effetti sull'assegno aggiuntivo previsto dall'</w:t>
      </w:r>
      <w:r w:rsidRPr="00E63A39">
        <w:rPr>
          <w:rFonts w:ascii="Verdana" w:hAnsi="Verdana"/>
          <w:i/>
          <w:iCs/>
          <w:sz w:val="18"/>
          <w:szCs w:val="18"/>
        </w:rPr>
        <w:t>articolo 39 del decreto del Presidente della Repubblica 11 luglio 1980, n. 382</w:t>
      </w:r>
      <w:r w:rsidRPr="00E63A39">
        <w:rPr>
          <w:rFonts w:ascii="Verdana" w:hAnsi="Verdana"/>
          <w:sz w:val="18"/>
          <w:szCs w:val="18"/>
        </w:rPr>
        <w:t>, per i docenti ed i ricercatori universitari che optino per il regime di impegno a tempo pieno, i cui importi restano determinati nelle misure stabilite dall'</w:t>
      </w:r>
      <w:r w:rsidRPr="00E63A39">
        <w:rPr>
          <w:rFonts w:ascii="Verdana" w:hAnsi="Verdana"/>
          <w:i/>
          <w:iCs/>
          <w:sz w:val="18"/>
          <w:szCs w:val="18"/>
        </w:rPr>
        <w:t xml:space="preserve">articolo </w:t>
      </w:r>
      <w:hyperlink r:id="rId9" w:history="1">
        <w:r w:rsidRPr="00E63A39">
          <w:rPr>
            <w:rFonts w:ascii="Verdana" w:hAnsi="Verdana"/>
            <w:i/>
            <w:iCs/>
            <w:sz w:val="18"/>
            <w:szCs w:val="18"/>
          </w:rPr>
          <w:t>3</w:t>
        </w:r>
      </w:hyperlink>
      <w:r w:rsidRPr="00E63A39">
        <w:rPr>
          <w:rFonts w:ascii="Verdana" w:hAnsi="Verdana"/>
          <w:i/>
          <w:iCs/>
          <w:sz w:val="18"/>
          <w:szCs w:val="18"/>
        </w:rPr>
        <w:t xml:space="preserve"> del decreto-legge 11 gennaio 1985, n. 2</w:t>
      </w:r>
      <w:r w:rsidRPr="00E63A39">
        <w:rPr>
          <w:rFonts w:ascii="Verdana" w:hAnsi="Verdana"/>
          <w:sz w:val="18"/>
          <w:szCs w:val="18"/>
        </w:rPr>
        <w:t xml:space="preserve">, convertito, con modificazioni, dalla </w:t>
      </w:r>
      <w:r w:rsidRPr="00E63A39">
        <w:rPr>
          <w:rFonts w:ascii="Verdana" w:hAnsi="Verdana"/>
          <w:i/>
          <w:iCs/>
          <w:sz w:val="18"/>
          <w:szCs w:val="18"/>
        </w:rPr>
        <w:t>legge 8 marzo 1985, n. 72</w:t>
      </w:r>
      <w:r w:rsidRPr="00E63A39">
        <w:rPr>
          <w:rFonts w:ascii="Verdana" w:hAnsi="Verdana"/>
          <w:sz w:val="18"/>
          <w:szCs w:val="18"/>
        </w:rPr>
        <w:t xml:space="preserve">. </w:t>
      </w:r>
    </w:p>
    <w:p w:rsidR="004F5143" w:rsidRPr="00E63A39" w:rsidRDefault="004F5143" w:rsidP="004F5143">
      <w:pPr>
        <w:pStyle w:val="provvr0"/>
        <w:rPr>
          <w:rFonts w:ascii="Verdana" w:hAnsi="Verdana"/>
          <w:sz w:val="18"/>
          <w:szCs w:val="18"/>
        </w:rPr>
      </w:pPr>
      <w:r w:rsidRPr="00E63A39">
        <w:rPr>
          <w:rFonts w:ascii="Verdana" w:hAnsi="Verdana"/>
          <w:sz w:val="18"/>
          <w:szCs w:val="18"/>
        </w:rPr>
        <w:t>4. Le somme corrisposte al personale del comparto ministeri per effetto dell'inquadramento definitivo nelle qualifiche funzionali ai sensi dell'</w:t>
      </w:r>
      <w:r w:rsidRPr="00E63A39">
        <w:rPr>
          <w:rFonts w:ascii="Verdana" w:hAnsi="Verdana"/>
          <w:i/>
          <w:iCs/>
          <w:sz w:val="18"/>
          <w:szCs w:val="18"/>
        </w:rPr>
        <w:t>articolo 4, ottavo comma, della legge 11 luglio 1980, n. 312</w:t>
      </w:r>
      <w:r w:rsidRPr="00E63A39">
        <w:rPr>
          <w:rFonts w:ascii="Verdana" w:hAnsi="Verdana"/>
          <w:sz w:val="18"/>
          <w:szCs w:val="18"/>
        </w:rPr>
        <w:t xml:space="preserve">, e le somme liquidate sui trattamenti pensionistici in conseguenza dell'applicazione della sentenza della Corte costituzionale n. 1 del 1991 non danno luogo ad interessi né a rivalutazione monetaria </w:t>
      </w:r>
      <w:bookmarkStart w:id="0" w:name="105up"/>
      <w:r w:rsidRPr="00E63A39">
        <w:rPr>
          <w:rFonts w:ascii="Verdana" w:hAnsi="Verdana"/>
          <w:sz w:val="18"/>
          <w:szCs w:val="18"/>
          <w:vertAlign w:val="superscript"/>
        </w:rPr>
        <w:t>(105)</w:t>
      </w:r>
      <w:bookmarkEnd w:id="0"/>
      <w:r w:rsidRPr="00E63A39">
        <w:rPr>
          <w:rFonts w:ascii="Verdana" w:hAnsi="Verdana"/>
          <w:sz w:val="18"/>
          <w:szCs w:val="18"/>
        </w:rPr>
        <w:t xml:space="preserve"> </w:t>
      </w:r>
      <w:bookmarkStart w:id="1" w:name="106up"/>
      <w:r w:rsidRPr="00E63A39">
        <w:rPr>
          <w:rFonts w:ascii="Verdana" w:hAnsi="Verdana"/>
          <w:sz w:val="18"/>
          <w:szCs w:val="18"/>
          <w:vertAlign w:val="superscript"/>
        </w:rPr>
        <w:t>(106)</w:t>
      </w:r>
      <w:bookmarkEnd w:id="1"/>
      <w:r w:rsidRPr="00E63A39">
        <w:rPr>
          <w:rFonts w:ascii="Verdana" w:hAnsi="Verdana"/>
          <w:sz w:val="18"/>
          <w:szCs w:val="18"/>
        </w:rPr>
        <w:t xml:space="preserve">. </w:t>
      </w: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5. Fatta salva l'esecuzione dei giudicati alla data di entrata in vigore della presente legge, le somme corrisposte in difformità da quanto disposto dal comma 4 sono considerate a titolo di acconto sui trattamenti economici e pensionistici in essere e recuperate con i futuri miglioramenti comunque spettanti sui trattamenti stessi </w:t>
      </w:r>
      <w:bookmarkStart w:id="2" w:name="107up"/>
      <w:r w:rsidRPr="00E63A39">
        <w:rPr>
          <w:rFonts w:ascii="Verdana" w:hAnsi="Verdana"/>
          <w:sz w:val="18"/>
          <w:szCs w:val="18"/>
          <w:vertAlign w:val="superscript"/>
        </w:rPr>
        <w:t>(107)</w:t>
      </w:r>
      <w:bookmarkEnd w:id="2"/>
      <w:r w:rsidRPr="00E63A39">
        <w:rPr>
          <w:rFonts w:ascii="Verdana" w:hAnsi="Verdana"/>
          <w:sz w:val="18"/>
          <w:szCs w:val="18"/>
        </w:rPr>
        <w:t xml:space="preserve">. </w:t>
      </w: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6. ... </w:t>
      </w:r>
      <w:bookmarkStart w:id="3" w:name="108up"/>
      <w:r w:rsidRPr="00E63A39">
        <w:rPr>
          <w:rFonts w:ascii="Verdana" w:hAnsi="Verdana"/>
          <w:sz w:val="18"/>
          <w:szCs w:val="18"/>
          <w:vertAlign w:val="superscript"/>
        </w:rPr>
        <w:t>(108)</w:t>
      </w:r>
      <w:bookmarkEnd w:id="3"/>
      <w:r w:rsidRPr="00E63A39">
        <w:rPr>
          <w:rFonts w:ascii="Verdana" w:hAnsi="Verdana"/>
          <w:sz w:val="18"/>
          <w:szCs w:val="18"/>
        </w:rPr>
        <w:t xml:space="preserve">. </w:t>
      </w:r>
    </w:p>
    <w:p w:rsidR="004F5143" w:rsidRPr="00E63A39" w:rsidRDefault="004F5143" w:rsidP="004F5143">
      <w:pPr>
        <w:pStyle w:val="provvr0"/>
        <w:rPr>
          <w:rFonts w:ascii="Verdana" w:hAnsi="Verdana"/>
          <w:sz w:val="18"/>
          <w:szCs w:val="18"/>
        </w:rPr>
      </w:pPr>
      <w:r w:rsidRPr="00E63A39">
        <w:rPr>
          <w:rFonts w:ascii="Verdana" w:hAnsi="Verdana"/>
          <w:sz w:val="18"/>
          <w:szCs w:val="18"/>
        </w:rPr>
        <w:t>7. Ai compensi per le prestazioni di cui all'</w:t>
      </w:r>
      <w:r w:rsidRPr="00E63A39">
        <w:rPr>
          <w:rFonts w:ascii="Verdana" w:hAnsi="Verdana"/>
          <w:i/>
          <w:iCs/>
          <w:sz w:val="18"/>
          <w:szCs w:val="18"/>
        </w:rPr>
        <w:t>articolo 66 del decreto del Presidente della Repubblica 11 luglio 1980, n. 382</w:t>
      </w:r>
      <w:r w:rsidRPr="00E63A39">
        <w:rPr>
          <w:rFonts w:ascii="Verdana" w:hAnsi="Verdana"/>
          <w:sz w:val="18"/>
          <w:szCs w:val="18"/>
        </w:rPr>
        <w:t xml:space="preserve">, così come disciplinate autonomamente dai regolamenti degli atenei, si applica la disciplina vigente per l'attività libero-professionale intramuraria di cui all'articolo 47, comma 1, lettera </w:t>
      </w:r>
      <w:r w:rsidRPr="00E63A39">
        <w:rPr>
          <w:rFonts w:ascii="Verdana" w:hAnsi="Verdana"/>
          <w:i/>
          <w:iCs/>
          <w:sz w:val="18"/>
          <w:szCs w:val="18"/>
        </w:rPr>
        <w:t>e</w:t>
      </w:r>
      <w:r w:rsidRPr="00E63A39">
        <w:rPr>
          <w:rFonts w:ascii="Verdana" w:hAnsi="Verdana"/>
          <w:sz w:val="18"/>
          <w:szCs w:val="18"/>
        </w:rPr>
        <w:t xml:space="preserve">), del testo unico delle imposte sui redditi, approvato con </w:t>
      </w:r>
      <w:r w:rsidRPr="00E63A39">
        <w:rPr>
          <w:rFonts w:ascii="Verdana" w:hAnsi="Verdana"/>
          <w:i/>
          <w:iCs/>
          <w:sz w:val="18"/>
          <w:szCs w:val="18"/>
        </w:rPr>
        <w:t>decreto del Presidente della Repubblica 22 dicembre 1986, n. 917</w:t>
      </w:r>
      <w:r w:rsidRPr="00E63A39">
        <w:rPr>
          <w:rFonts w:ascii="Verdana" w:hAnsi="Verdana"/>
          <w:sz w:val="18"/>
          <w:szCs w:val="18"/>
        </w:rPr>
        <w:t xml:space="preserve">, e successive modificazioni e integrazioni. </w:t>
      </w: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8. L'amministrazione scolastica centrale e periferica può avvalersi, per i compiti connessi con l'attuazione dell'autonomia scolastica, dell'opera di docenti e dirigenti scolastici, forniti di adeguati titoli culturali, scientifici e professionali, nei limiti di un contingente non superiore a centocinquanta unità, determinato con decreto del Ministro della pubblica istruzione, di concerto con il Ministro del tesoro, del bilancio e della programmazione economica. Presso gli enti e le associazioni che svolgono attività di prevenzione del disagio </w:t>
      </w:r>
      <w:proofErr w:type="spellStart"/>
      <w:r w:rsidRPr="00E63A39">
        <w:rPr>
          <w:rFonts w:ascii="Verdana" w:hAnsi="Verdana"/>
          <w:sz w:val="18"/>
          <w:szCs w:val="18"/>
        </w:rPr>
        <w:t>psico</w:t>
      </w:r>
      <w:proofErr w:type="spellEnd"/>
      <w:r w:rsidRPr="00E63A39">
        <w:rPr>
          <w:rFonts w:ascii="Verdana" w:hAnsi="Verdana"/>
          <w:sz w:val="18"/>
          <w:szCs w:val="18"/>
        </w:rPr>
        <w:t xml:space="preserve">-sociale, assistenza, cura, riabilitazione e reinserimento di tossicodipendenti e che risultano iscritti all'albo di cui all'articolo 116 del testo unico approvato con </w:t>
      </w:r>
      <w:r w:rsidRPr="00E63A39">
        <w:rPr>
          <w:rFonts w:ascii="Verdana" w:hAnsi="Verdana"/>
          <w:i/>
          <w:iCs/>
          <w:sz w:val="18"/>
          <w:szCs w:val="18"/>
        </w:rPr>
        <w:t>decreto del Presidente della Repubblica 9 ottobre 1990, n. 309</w:t>
      </w:r>
      <w:r w:rsidRPr="00E63A39">
        <w:rPr>
          <w:rFonts w:ascii="Verdana" w:hAnsi="Verdana"/>
          <w:sz w:val="18"/>
          <w:szCs w:val="18"/>
        </w:rPr>
        <w:t xml:space="preserve">, possono essere disposte, ai sensi dell'articolo 105 del citato testo unico, assegnazioni di docenti e dirigenti scolastici nel limite massimo di cento unità. Alle associazioni professionali del personale direttivo e docente ed agli enti cooperativi da esse promossi, nonché agli enti ed istituzioni che svolgono, per loro finalità istituzionale, impegni nel campo della formazione e della ricerca educativa e didattica, possono essere assegnati docenti e dirigenti scolastici nel limite massimo di cinquanta unità. Le assegnazioni di cui al presente comma, ivi comprese quelle presso l'amministrazione scolastica centrale e periferica, comportano il collocamento in posizione di fuori ruolo. Il personale </w:t>
      </w:r>
    </w:p>
    <w:p w:rsidR="004F5143" w:rsidRPr="00E63A39" w:rsidRDefault="004F5143" w:rsidP="004F5143">
      <w:pPr>
        <w:pStyle w:val="provvr0"/>
        <w:rPr>
          <w:rFonts w:ascii="Verdana" w:hAnsi="Verdana"/>
          <w:sz w:val="18"/>
          <w:szCs w:val="18"/>
        </w:rPr>
      </w:pP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collocato fuori ruolo deve aver superato il periodo di prova. Il periodo trascorso in tale posizione è valido a tutti gli effetti come servizio di istituto nella scuola. All'atto del rientro in ruolo i docenti e i dirigenti scolastici riacquistano la sede nella quale erano titolari al momento del collocamento fuori ruolo se il periodo di servizio prestato nella predetta posizione non è durato oltre un quinquennio. In caso di durata superiore essi sono assegnati con priorità ad una sede disponibile da loro scelta. È abrogato l'articolo 456 del testo unico approvato con </w:t>
      </w:r>
      <w:r w:rsidRPr="00E63A39">
        <w:rPr>
          <w:rFonts w:ascii="Verdana" w:hAnsi="Verdana"/>
          <w:i/>
          <w:iCs/>
          <w:sz w:val="18"/>
          <w:szCs w:val="18"/>
        </w:rPr>
        <w:t>decreto legislativo 16 aprile 1994, n. 297</w:t>
      </w:r>
      <w:r w:rsidRPr="00E63A39">
        <w:rPr>
          <w:rFonts w:ascii="Verdana" w:hAnsi="Verdana"/>
          <w:sz w:val="18"/>
          <w:szCs w:val="18"/>
        </w:rPr>
        <w:t xml:space="preserve">, con eccezione dei commi 12, 13 e 14 </w:t>
      </w:r>
      <w:bookmarkStart w:id="4" w:name="109up"/>
      <w:r w:rsidRPr="00E63A39">
        <w:rPr>
          <w:rFonts w:ascii="Verdana" w:hAnsi="Verdana"/>
          <w:sz w:val="18"/>
          <w:szCs w:val="18"/>
          <w:vertAlign w:val="superscript"/>
        </w:rPr>
        <w:t>(109)</w:t>
      </w:r>
      <w:bookmarkEnd w:id="4"/>
      <w:r w:rsidRPr="00E63A39">
        <w:rPr>
          <w:rFonts w:ascii="Verdana" w:hAnsi="Verdana"/>
          <w:sz w:val="18"/>
          <w:szCs w:val="18"/>
        </w:rPr>
        <w:t xml:space="preserve">. </w:t>
      </w: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9. A decorrere dall'anno scolastico 2000-2001 le associazioni professionali del personale direttivo e docente e gli enti cooperativi da esse promossi, nonché gli enti ed istituzioni che svolgono, per loro finalità istituzionale, impegni nel campo della formazione possono chiedere contributi in sostituzione del personale assegnato. Con decreto del Ministro della pubblica istruzione sono individuati modalità e tempi per sostituire le assegnazioni con contributi nel limite massimo delle economie di spesa realizzate per effetto della riduzione delle assegnazioni stesse. Sull'attuazione dei provvedimenti di cui al comma 8 e al presente comma il Ministro della pubblica istruzione presenta annualmente una relazione al Parlamento. </w:t>
      </w: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10. Possono essere disposti comandi di durata annuale del personale di cui al comma 8 presso università degli studi e altri istituti di istruzione superiore, associazioni professionali del personale direttivo e docente ed enti cooperativi da esse promossi, nonché presso enti, istituzioni o amministrazioni che svolgono, per loro finalità istituzionale, impegni nel campo della formazione e in campo culturale e artistico, su loro richiesta e con oneri interamente a loro carico. I comandi che hanno complessivamente durata superiore ad un </w:t>
      </w:r>
      <w:proofErr w:type="spellStart"/>
      <w:r w:rsidRPr="00E63A39">
        <w:rPr>
          <w:rFonts w:ascii="Verdana" w:hAnsi="Verdana"/>
          <w:sz w:val="18"/>
          <w:szCs w:val="18"/>
        </w:rPr>
        <w:t>quinquiennio</w:t>
      </w:r>
      <w:proofErr w:type="spellEnd"/>
      <w:r w:rsidRPr="00E63A39">
        <w:rPr>
          <w:rFonts w:ascii="Verdana" w:hAnsi="Verdana"/>
          <w:sz w:val="18"/>
          <w:szCs w:val="18"/>
        </w:rPr>
        <w:t xml:space="preserve"> comportano la perdita della sede di titolarità. In tal caso il personale, alla cessazione del comando, è assegnato con priorità ad una sede disponibile di sua scelta. A tal fine i periodi trascorsi in posizione di fuori ruolo ai sensi del comma 8 e in posizione di comando ai sensi del presente comma si sommano se fra gli stessi non vi sia soluzione di continuità </w:t>
      </w:r>
      <w:bookmarkStart w:id="5" w:name="110up"/>
      <w:r w:rsidRPr="00E63A39">
        <w:rPr>
          <w:rFonts w:ascii="Verdana" w:hAnsi="Verdana"/>
          <w:sz w:val="18"/>
          <w:szCs w:val="18"/>
          <w:vertAlign w:val="superscript"/>
        </w:rPr>
        <w:t>(110)</w:t>
      </w:r>
      <w:bookmarkEnd w:id="5"/>
      <w:r w:rsidRPr="00E63A39">
        <w:rPr>
          <w:rFonts w:ascii="Verdana" w:hAnsi="Verdana"/>
          <w:sz w:val="18"/>
          <w:szCs w:val="18"/>
        </w:rPr>
        <w:t xml:space="preserve">. </w:t>
      </w: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11. Sono abrogati i commi 3 e 9, con eccezione degli ultimi due periodi, dell'articolo 453 del testo unico approvato con </w:t>
      </w:r>
      <w:r w:rsidRPr="00E63A39">
        <w:rPr>
          <w:rFonts w:ascii="Verdana" w:hAnsi="Verdana"/>
          <w:i/>
          <w:iCs/>
          <w:sz w:val="18"/>
          <w:szCs w:val="18"/>
        </w:rPr>
        <w:t>decreto legislativo 16 aprile 1994, n. 297</w:t>
      </w:r>
      <w:r w:rsidRPr="00E63A39">
        <w:rPr>
          <w:rFonts w:ascii="Verdana" w:hAnsi="Verdana"/>
          <w:sz w:val="18"/>
          <w:szCs w:val="18"/>
        </w:rPr>
        <w:t xml:space="preserve">. Il comma 2 dello stesso articolo 453 è sostituito dal seguente: </w:t>
      </w: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 </w:t>
      </w:r>
      <w:bookmarkStart w:id="6" w:name="111up"/>
      <w:r w:rsidRPr="00E63A39">
        <w:rPr>
          <w:rFonts w:ascii="Verdana" w:hAnsi="Verdana"/>
          <w:sz w:val="18"/>
          <w:szCs w:val="18"/>
          <w:vertAlign w:val="superscript"/>
        </w:rPr>
        <w:t>(111)</w:t>
      </w:r>
      <w:bookmarkEnd w:id="6"/>
      <w:r w:rsidRPr="00E63A39">
        <w:rPr>
          <w:rFonts w:ascii="Verdana" w:hAnsi="Verdana"/>
          <w:sz w:val="18"/>
          <w:szCs w:val="18"/>
        </w:rPr>
        <w:t xml:space="preserve">. </w:t>
      </w: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12. Il Ministro della pubblica istruzione provvede con proprio decreto a ridefinire i criteri e le modalità di costituzione delle classi che accolgono alunni in situazioni di </w:t>
      </w:r>
      <w:r w:rsidRPr="00E63A39">
        <w:rPr>
          <w:rFonts w:ascii="Verdana" w:hAnsi="Verdana"/>
          <w:i/>
          <w:iCs/>
          <w:sz w:val="18"/>
          <w:szCs w:val="18"/>
        </w:rPr>
        <w:t>handicap</w:t>
      </w:r>
      <w:r w:rsidRPr="00E63A39">
        <w:rPr>
          <w:rFonts w:ascii="Verdana" w:hAnsi="Verdana"/>
          <w:sz w:val="18"/>
          <w:szCs w:val="18"/>
        </w:rPr>
        <w:t>, ferme restando le dotazioni organiche complessive del personale stabilite ai sensi dell'</w:t>
      </w:r>
      <w:r w:rsidRPr="00E63A39">
        <w:rPr>
          <w:rFonts w:ascii="Verdana" w:hAnsi="Verdana"/>
          <w:i/>
          <w:iCs/>
          <w:sz w:val="18"/>
          <w:szCs w:val="18"/>
        </w:rPr>
        <w:t>articolo 40 della legge 27 dicembre 1997, n. 449</w:t>
      </w:r>
      <w:r w:rsidRPr="00E63A39">
        <w:rPr>
          <w:rFonts w:ascii="Verdana" w:hAnsi="Verdana"/>
          <w:sz w:val="18"/>
          <w:szCs w:val="18"/>
        </w:rPr>
        <w:t xml:space="preserve">, e dei relativi provvedimenti di attuazione. </w:t>
      </w:r>
    </w:p>
    <w:p w:rsidR="004F5143" w:rsidRPr="00E63A39" w:rsidRDefault="004F5143" w:rsidP="004F5143">
      <w:pPr>
        <w:pStyle w:val="provvr0"/>
        <w:rPr>
          <w:rFonts w:ascii="Verdana" w:hAnsi="Verdana"/>
          <w:sz w:val="18"/>
          <w:szCs w:val="18"/>
        </w:rPr>
      </w:pPr>
      <w:r w:rsidRPr="00E63A39">
        <w:rPr>
          <w:rFonts w:ascii="Verdana" w:hAnsi="Verdana"/>
          <w:sz w:val="18"/>
          <w:szCs w:val="18"/>
        </w:rPr>
        <w:t>13. Le economie di spesa derivanti dalle disposizioni di cui ai commi 8 e 11, stimate in lire 25 miliardi in ragione d'anno, sono utilizzate nel limite del 60 per cento, quantificato in lire 15 miliardi a decorrere dall'anno 1999, per elevare il limite di spesa previsto dalle vigenti disposizioni per i compensi dovuti ai presidenti ed ai componenti delle commissioni degli esami di Stato conclusivi dei corsi di studio di istruzione secondaria superiore. Nel limite di spesa complessiva è altresì attribuito un compenso per i componenti dei consigli di classe presso cui si svolgono gli esami preliminari ai sensi dell'</w:t>
      </w:r>
      <w:r w:rsidRPr="00E63A39">
        <w:rPr>
          <w:rFonts w:ascii="Verdana" w:hAnsi="Verdana"/>
          <w:i/>
          <w:iCs/>
          <w:sz w:val="18"/>
          <w:szCs w:val="18"/>
        </w:rPr>
        <w:t>articolo 2, comma 3, della legge 10 dicembre 1997, n. 425</w:t>
      </w:r>
      <w:r w:rsidRPr="00E63A39">
        <w:rPr>
          <w:rFonts w:ascii="Verdana" w:hAnsi="Verdana"/>
          <w:sz w:val="18"/>
          <w:szCs w:val="18"/>
        </w:rPr>
        <w:t xml:space="preserve">. </w:t>
      </w: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14. I docenti e i dirigenti scolastici che hanno superato il periodo di prova possono usufruire di un periodo di aspettativa non retribuita della durata massima di un anno scolastico ogni dieci anni. Per i detti periodi i docenti e i dirigenti possono provvedere a loro spese alla copertura degli oneri previdenziali. </w:t>
      </w: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15. ... </w:t>
      </w:r>
      <w:bookmarkStart w:id="7" w:name="112up"/>
      <w:r w:rsidRPr="00E63A39">
        <w:rPr>
          <w:rFonts w:ascii="Verdana" w:hAnsi="Verdana"/>
          <w:sz w:val="18"/>
          <w:szCs w:val="18"/>
          <w:vertAlign w:val="superscript"/>
        </w:rPr>
        <w:t>(112)</w:t>
      </w:r>
      <w:bookmarkEnd w:id="7"/>
      <w:r w:rsidRPr="00E63A39">
        <w:rPr>
          <w:rFonts w:ascii="Verdana" w:hAnsi="Verdana"/>
          <w:sz w:val="18"/>
          <w:szCs w:val="18"/>
        </w:rPr>
        <w:t xml:space="preserve">. </w:t>
      </w:r>
    </w:p>
    <w:p w:rsidR="004F5143" w:rsidRPr="00E63A39" w:rsidRDefault="004F5143" w:rsidP="004F5143">
      <w:pPr>
        <w:pStyle w:val="provvr0"/>
        <w:rPr>
          <w:rFonts w:ascii="Verdana" w:hAnsi="Verdana"/>
          <w:sz w:val="18"/>
          <w:szCs w:val="18"/>
        </w:rPr>
      </w:pPr>
      <w:r w:rsidRPr="00E63A39">
        <w:rPr>
          <w:rFonts w:ascii="Verdana" w:hAnsi="Verdana"/>
          <w:sz w:val="18"/>
          <w:szCs w:val="18"/>
        </w:rPr>
        <w:t>16. All'</w:t>
      </w:r>
      <w:r w:rsidRPr="00E63A39">
        <w:rPr>
          <w:rFonts w:ascii="Verdana" w:hAnsi="Verdana"/>
          <w:i/>
          <w:iCs/>
          <w:sz w:val="18"/>
          <w:szCs w:val="18"/>
        </w:rPr>
        <w:t>articolo 40 della legge 27 dicembre 1997, n. 449</w:t>
      </w:r>
      <w:r w:rsidRPr="00E63A39">
        <w:rPr>
          <w:rFonts w:ascii="Verdana" w:hAnsi="Verdana"/>
          <w:sz w:val="18"/>
          <w:szCs w:val="18"/>
        </w:rPr>
        <w:t xml:space="preserve">, al comma 1, primo periodo, sono aggiunte, in fine, le parole: «, ferma restando la dotazione di personale di sostegno necessaria a coprire la richiesta nazionale di integrazione scolastica». </w:t>
      </w: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17. Al comma 1 dell'articolo 294 del testo unico approvato con </w:t>
      </w:r>
      <w:r w:rsidRPr="00E63A39">
        <w:rPr>
          <w:rFonts w:ascii="Verdana" w:hAnsi="Verdana"/>
          <w:i/>
          <w:iCs/>
          <w:sz w:val="18"/>
          <w:szCs w:val="18"/>
        </w:rPr>
        <w:t>decreto legislativo 16 aprile 1994, n. 297</w:t>
      </w:r>
      <w:r w:rsidRPr="00E63A39">
        <w:rPr>
          <w:rFonts w:ascii="Verdana" w:hAnsi="Verdana"/>
          <w:sz w:val="18"/>
          <w:szCs w:val="18"/>
        </w:rPr>
        <w:t xml:space="preserve">, sono aggiunte, in fine, le parole: «, anche a riposo». </w:t>
      </w:r>
    </w:p>
    <w:p w:rsidR="004F5143" w:rsidRPr="00E63A39" w:rsidRDefault="004F5143" w:rsidP="004F5143">
      <w:pPr>
        <w:pStyle w:val="provvr0"/>
        <w:rPr>
          <w:rFonts w:ascii="Verdana" w:hAnsi="Verdana"/>
          <w:sz w:val="18"/>
          <w:szCs w:val="18"/>
        </w:rPr>
      </w:pPr>
      <w:r w:rsidRPr="00E63A39">
        <w:rPr>
          <w:rFonts w:ascii="Verdana" w:hAnsi="Verdana"/>
          <w:sz w:val="18"/>
          <w:szCs w:val="18"/>
        </w:rPr>
        <w:t>18. La somma da destinare effettivamente ai fondi gestori di previdenza complementare, ai sensi dell'</w:t>
      </w:r>
      <w:r w:rsidRPr="00E63A39">
        <w:rPr>
          <w:rFonts w:ascii="Verdana" w:hAnsi="Verdana"/>
          <w:i/>
          <w:iCs/>
          <w:sz w:val="18"/>
          <w:szCs w:val="18"/>
        </w:rPr>
        <w:t>articolo 59, comma 56, della legge 27 dicembre 1997, n. 449</w:t>
      </w:r>
      <w:r w:rsidRPr="00E63A39">
        <w:rPr>
          <w:rFonts w:ascii="Verdana" w:hAnsi="Verdana"/>
          <w:sz w:val="18"/>
          <w:szCs w:val="18"/>
        </w:rPr>
        <w:t xml:space="preserve">, resta stabilita in lire 200 miliardi annue. Nei limiti di tale importo sono trasferite ai predetti fondi quote degli accantonamenti annuali del trattamento di fine rapporto dei lavoratori interessati. </w:t>
      </w:r>
    </w:p>
    <w:p w:rsidR="004F5143" w:rsidRPr="00E63A39" w:rsidRDefault="004F5143" w:rsidP="004F5143">
      <w:pPr>
        <w:pStyle w:val="provvr0"/>
        <w:rPr>
          <w:rFonts w:ascii="Verdana" w:hAnsi="Verdana"/>
          <w:sz w:val="18"/>
          <w:szCs w:val="18"/>
        </w:rPr>
      </w:pPr>
    </w:p>
    <w:p w:rsidR="004F5143" w:rsidRPr="00E63A39" w:rsidRDefault="004F5143" w:rsidP="004F5143">
      <w:pPr>
        <w:pStyle w:val="provvr0"/>
        <w:rPr>
          <w:rFonts w:ascii="Verdana" w:hAnsi="Verdana"/>
          <w:sz w:val="18"/>
          <w:szCs w:val="18"/>
        </w:rPr>
      </w:pPr>
      <w:r w:rsidRPr="00E63A39">
        <w:rPr>
          <w:rFonts w:ascii="Verdana" w:hAnsi="Verdana"/>
          <w:sz w:val="18"/>
          <w:szCs w:val="18"/>
        </w:rPr>
        <w:t>19. Con il decreto del Presidente del Consiglio dei ministri previsto dall'</w:t>
      </w:r>
      <w:r w:rsidRPr="00E63A39">
        <w:rPr>
          <w:rFonts w:ascii="Verdana" w:hAnsi="Verdana"/>
          <w:i/>
          <w:iCs/>
          <w:sz w:val="18"/>
          <w:szCs w:val="18"/>
        </w:rPr>
        <w:t>articolo 2, commi 6 e 7, della legge 8 agosto 1995, n. 335</w:t>
      </w:r>
      <w:r w:rsidRPr="00E63A39">
        <w:rPr>
          <w:rFonts w:ascii="Verdana" w:hAnsi="Verdana"/>
          <w:sz w:val="18"/>
          <w:szCs w:val="18"/>
        </w:rPr>
        <w:t>, si provvede, ai sensi dell'</w:t>
      </w:r>
      <w:r w:rsidRPr="00E63A39">
        <w:rPr>
          <w:rFonts w:ascii="Verdana" w:hAnsi="Verdana"/>
          <w:i/>
          <w:iCs/>
          <w:sz w:val="18"/>
          <w:szCs w:val="18"/>
        </w:rPr>
        <w:t>articolo 8, comma 4, del decreto legislativo 21 aprile 1993, n. 124</w:t>
      </w:r>
      <w:r w:rsidRPr="00E63A39">
        <w:rPr>
          <w:rFonts w:ascii="Verdana" w:hAnsi="Verdana"/>
          <w:sz w:val="18"/>
          <w:szCs w:val="18"/>
        </w:rPr>
        <w:t>, a disciplinare l'accantonamento, la rivalutazione e la gestione dell'1,5 per cento dell'aliquota contributiva relativa all'indennità di fine servizio prevista dalle gestioni previdenziali di appartenenza da destinare alla previdenza complementare del personale che opta per la trasformazione dell'indennità di fine servizio in trattamento di fine rapporto, nonché i criteri per l'attribuzione ai fondi della somma di cui al comma 18. Con il medesimo decreto si provvederà a definire, ferma restando l'invarianza della retribuzione complessiva netta e di quella utile ai fini pensionistici, gli adeguamenti della struttura retributiva e contributiva conseguenti all'applicazione del trattamento di fine rapporto, le modalità per l'erogazione del trattamento di fine rapporto per i periodi di lavoro prestato a tempo determinato nonché quelle necessarie per rendere operativo il passaggio al nuovo sistema del personale di cui al comma 5 dell'</w:t>
      </w:r>
      <w:r w:rsidRPr="00E63A39">
        <w:rPr>
          <w:rFonts w:ascii="Verdana" w:hAnsi="Verdana"/>
          <w:i/>
          <w:iCs/>
          <w:sz w:val="18"/>
          <w:szCs w:val="18"/>
        </w:rPr>
        <w:t>articolo 2 della legge 8 agosto 1995, n. 335</w:t>
      </w:r>
      <w:r w:rsidRPr="00E63A39">
        <w:rPr>
          <w:rFonts w:ascii="Verdana" w:hAnsi="Verdana"/>
          <w:sz w:val="18"/>
          <w:szCs w:val="18"/>
        </w:rPr>
        <w:t xml:space="preserve">. </w:t>
      </w: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20. Ai fini dell'armonizzazione al regime generale del trattamento di fine rapporto e dell'istituzione di forme di previdenza complementare dei dipendenti pubblici, le procedure di negoziazione e di concertazione previste dal </w:t>
      </w:r>
      <w:r w:rsidRPr="00E63A39">
        <w:rPr>
          <w:rFonts w:ascii="Verdana" w:hAnsi="Verdana"/>
          <w:i/>
          <w:iCs/>
          <w:sz w:val="18"/>
          <w:szCs w:val="18"/>
        </w:rPr>
        <w:t>decreto legislativo 12 maggio 1995, n. 195</w:t>
      </w:r>
      <w:r w:rsidRPr="00E63A39">
        <w:rPr>
          <w:rFonts w:ascii="Verdana" w:hAnsi="Verdana"/>
          <w:sz w:val="18"/>
          <w:szCs w:val="18"/>
        </w:rPr>
        <w:t>, potranno definire, per il personale ivi contemplato, la disciplina del trattamento di fine rapporto ai sensi dell'</w:t>
      </w:r>
      <w:r w:rsidRPr="00E63A39">
        <w:rPr>
          <w:rFonts w:ascii="Verdana" w:hAnsi="Verdana"/>
          <w:i/>
          <w:iCs/>
          <w:sz w:val="18"/>
          <w:szCs w:val="18"/>
        </w:rPr>
        <w:t>articolo 2, commi da 5 a 8, della legge 8 agosto 1995, n. 335</w:t>
      </w:r>
      <w:r w:rsidRPr="00E63A39">
        <w:rPr>
          <w:rFonts w:ascii="Verdana" w:hAnsi="Verdana"/>
          <w:sz w:val="18"/>
          <w:szCs w:val="18"/>
        </w:rPr>
        <w:t>, e successive modificazioni, nonché l'istituzione di forme pensionistiche complementari, di cui all'</w:t>
      </w:r>
      <w:r w:rsidRPr="00E63A39">
        <w:rPr>
          <w:rFonts w:ascii="Verdana" w:hAnsi="Verdana"/>
          <w:i/>
          <w:iCs/>
          <w:sz w:val="18"/>
          <w:szCs w:val="18"/>
        </w:rPr>
        <w:t>articolo 3 del decreto legislativo 21 aprile 1993, n. 124</w:t>
      </w:r>
      <w:r w:rsidRPr="00E63A39">
        <w:rPr>
          <w:rFonts w:ascii="Verdana" w:hAnsi="Verdana"/>
          <w:sz w:val="18"/>
          <w:szCs w:val="18"/>
        </w:rPr>
        <w:t>, e successive modificazioni. Per la prima applicazione di quanto previsto nel periodo precedente saranno attivate le procedure di negoziazione e di concertazione in deroga a quanto stabilito dall'</w:t>
      </w:r>
      <w:r w:rsidRPr="00E63A39">
        <w:rPr>
          <w:rFonts w:ascii="Verdana" w:hAnsi="Verdana"/>
          <w:i/>
          <w:iCs/>
          <w:sz w:val="18"/>
          <w:szCs w:val="18"/>
        </w:rPr>
        <w:t>articolo 7, comma 1, del citato decreto legislativo n. 195 del 1995</w:t>
      </w:r>
      <w:r w:rsidRPr="00E63A39">
        <w:rPr>
          <w:rFonts w:ascii="Verdana" w:hAnsi="Verdana"/>
          <w:sz w:val="18"/>
          <w:szCs w:val="18"/>
        </w:rPr>
        <w:t xml:space="preserve">. </w:t>
      </w:r>
    </w:p>
    <w:p w:rsidR="004F5143" w:rsidRPr="00E63A39" w:rsidRDefault="004F5143" w:rsidP="004F5143">
      <w:pPr>
        <w:pStyle w:val="provvr0"/>
        <w:rPr>
          <w:rFonts w:ascii="Verdana" w:hAnsi="Verdana"/>
          <w:sz w:val="18"/>
          <w:szCs w:val="18"/>
        </w:rPr>
      </w:pPr>
      <w:r w:rsidRPr="00E63A39">
        <w:rPr>
          <w:rFonts w:ascii="Verdana" w:hAnsi="Verdana"/>
          <w:sz w:val="18"/>
          <w:szCs w:val="18"/>
        </w:rPr>
        <w:t>21. L'abrogazione dell'</w:t>
      </w:r>
      <w:r w:rsidRPr="00E63A39">
        <w:rPr>
          <w:rFonts w:ascii="Verdana" w:hAnsi="Verdana"/>
          <w:i/>
          <w:iCs/>
          <w:sz w:val="18"/>
          <w:szCs w:val="18"/>
        </w:rPr>
        <w:t>articolo 10 del decreto-legge 8 agosto 1996, n. 437</w:t>
      </w:r>
      <w:r w:rsidRPr="00E63A39">
        <w:rPr>
          <w:rFonts w:ascii="Verdana" w:hAnsi="Verdana"/>
          <w:sz w:val="18"/>
          <w:szCs w:val="18"/>
        </w:rPr>
        <w:t xml:space="preserve">, convertito, con modificazioni, dalla </w:t>
      </w:r>
      <w:r w:rsidRPr="00E63A39">
        <w:rPr>
          <w:rFonts w:ascii="Verdana" w:hAnsi="Verdana"/>
          <w:i/>
          <w:iCs/>
          <w:sz w:val="18"/>
          <w:szCs w:val="18"/>
        </w:rPr>
        <w:t>legge 24 ottobre 1996, n. 556</w:t>
      </w:r>
      <w:r w:rsidRPr="00E63A39">
        <w:rPr>
          <w:rFonts w:ascii="Verdana" w:hAnsi="Verdana"/>
          <w:sz w:val="18"/>
          <w:szCs w:val="18"/>
        </w:rPr>
        <w:t>, disposta dall'</w:t>
      </w:r>
      <w:r w:rsidRPr="00E63A39">
        <w:rPr>
          <w:rFonts w:ascii="Verdana" w:hAnsi="Verdana"/>
          <w:i/>
          <w:iCs/>
          <w:sz w:val="18"/>
          <w:szCs w:val="18"/>
        </w:rPr>
        <w:t>articolo 55, comma 2, della legge 27 dicembre 1997, n. 449</w:t>
      </w:r>
      <w:r w:rsidRPr="00E63A39">
        <w:rPr>
          <w:rFonts w:ascii="Verdana" w:hAnsi="Verdana"/>
          <w:sz w:val="18"/>
          <w:szCs w:val="18"/>
        </w:rPr>
        <w:t xml:space="preserve">, ha effetto dalla data di trasformazione in forme di previdenza complementare dei trattamenti erogati da associazioni, enti ed organismi aventi natura o con finalità previdenziale o assistenziale. </w:t>
      </w:r>
    </w:p>
    <w:p w:rsidR="004F5143" w:rsidRPr="00E63A39" w:rsidRDefault="004F5143" w:rsidP="004F5143">
      <w:pPr>
        <w:pStyle w:val="provvr0"/>
        <w:rPr>
          <w:rFonts w:ascii="Verdana" w:hAnsi="Verdana"/>
          <w:sz w:val="18"/>
          <w:szCs w:val="18"/>
        </w:rPr>
      </w:pPr>
      <w:r w:rsidRPr="00E63A39">
        <w:rPr>
          <w:rFonts w:ascii="Verdana" w:hAnsi="Verdana"/>
          <w:sz w:val="18"/>
          <w:szCs w:val="18"/>
        </w:rPr>
        <w:t xml:space="preserve">22. ... </w:t>
      </w:r>
      <w:bookmarkStart w:id="8" w:name="113up"/>
      <w:r w:rsidRPr="00E63A39">
        <w:rPr>
          <w:rFonts w:ascii="Verdana" w:hAnsi="Verdana"/>
          <w:sz w:val="18"/>
          <w:szCs w:val="18"/>
          <w:vertAlign w:val="superscript"/>
        </w:rPr>
        <w:t>(113)</w:t>
      </w:r>
      <w:bookmarkEnd w:id="8"/>
      <w:r w:rsidRPr="00E63A39">
        <w:rPr>
          <w:rFonts w:ascii="Verdana" w:hAnsi="Verdana"/>
          <w:sz w:val="18"/>
          <w:szCs w:val="18"/>
        </w:rPr>
        <w:t xml:space="preserve">. </w:t>
      </w:r>
    </w:p>
    <w:p w:rsidR="004F5143" w:rsidRPr="00E63A39" w:rsidRDefault="004F5143" w:rsidP="004F5143">
      <w:pPr>
        <w:pStyle w:val="provvr0"/>
        <w:rPr>
          <w:rFonts w:ascii="Verdana" w:hAnsi="Verdana"/>
          <w:sz w:val="18"/>
          <w:szCs w:val="18"/>
        </w:rPr>
      </w:pPr>
      <w:r w:rsidRPr="00E63A39">
        <w:rPr>
          <w:rFonts w:ascii="Verdana" w:hAnsi="Verdana"/>
          <w:sz w:val="18"/>
          <w:szCs w:val="18"/>
        </w:rPr>
        <w:t>23. Le disposizioni di cui all'</w:t>
      </w:r>
      <w:r w:rsidRPr="00E63A39">
        <w:rPr>
          <w:rFonts w:ascii="Verdana" w:hAnsi="Verdana"/>
          <w:i/>
          <w:iCs/>
          <w:sz w:val="18"/>
          <w:szCs w:val="18"/>
        </w:rPr>
        <w:t xml:space="preserve">articolo 59, comma 3, </w:t>
      </w:r>
      <w:bookmarkStart w:id="9" w:name="_GoBack"/>
      <w:r w:rsidRPr="00E63A39">
        <w:rPr>
          <w:rFonts w:ascii="Verdana" w:hAnsi="Verdana"/>
          <w:i/>
          <w:iCs/>
          <w:sz w:val="18"/>
          <w:szCs w:val="18"/>
        </w:rPr>
        <w:t>d</w:t>
      </w:r>
      <w:bookmarkEnd w:id="9"/>
      <w:r w:rsidRPr="00E63A39">
        <w:rPr>
          <w:rFonts w:ascii="Verdana" w:hAnsi="Verdana"/>
          <w:i/>
          <w:iCs/>
          <w:sz w:val="18"/>
          <w:szCs w:val="18"/>
        </w:rPr>
        <w:t>ella legge 27 dicembre 1997, n. 449</w:t>
      </w:r>
      <w:r w:rsidRPr="00E63A39">
        <w:rPr>
          <w:rFonts w:ascii="Verdana" w:hAnsi="Verdana"/>
          <w:sz w:val="18"/>
          <w:szCs w:val="18"/>
        </w:rPr>
        <w:t xml:space="preserve">, si interpretano nel senso che il trattamento tributario di cui alla lettera </w:t>
      </w:r>
      <w:r w:rsidRPr="00E63A39">
        <w:rPr>
          <w:rFonts w:ascii="Verdana" w:hAnsi="Verdana"/>
          <w:i/>
          <w:iCs/>
          <w:sz w:val="18"/>
          <w:szCs w:val="18"/>
        </w:rPr>
        <w:t>a</w:t>
      </w:r>
      <w:r w:rsidRPr="00E63A39">
        <w:rPr>
          <w:rFonts w:ascii="Verdana" w:hAnsi="Verdana"/>
          <w:sz w:val="18"/>
          <w:szCs w:val="18"/>
        </w:rPr>
        <w:t xml:space="preserve">) si applica anche alle somme erogate ai sensi della lettera </w:t>
      </w:r>
      <w:r w:rsidRPr="00E63A39">
        <w:rPr>
          <w:rFonts w:ascii="Verdana" w:hAnsi="Verdana"/>
          <w:i/>
          <w:iCs/>
          <w:sz w:val="18"/>
          <w:szCs w:val="18"/>
        </w:rPr>
        <w:t>b</w:t>
      </w:r>
      <w:r w:rsidRPr="00E63A39">
        <w:rPr>
          <w:rFonts w:ascii="Verdana" w:hAnsi="Verdana"/>
          <w:sz w:val="18"/>
          <w:szCs w:val="18"/>
        </w:rPr>
        <w:t xml:space="preserve">), senza oneri aggiuntivi a carico dello Stato. </w:t>
      </w:r>
    </w:p>
    <w:p w:rsidR="00A85EB9" w:rsidRPr="00A85EB9" w:rsidRDefault="00A85EB9" w:rsidP="00A85EB9">
      <w:pPr>
        <w:rPr>
          <w:rFonts w:ascii="Verdana" w:eastAsia="Times New Roman" w:hAnsi="Verdana" w:cs="Tahoma"/>
          <w:b/>
          <w:color w:val="00395E"/>
          <w:sz w:val="24"/>
          <w:szCs w:val="13"/>
        </w:rPr>
      </w:pPr>
    </w:p>
    <w:sectPr w:rsidR="00A85EB9" w:rsidRPr="00A85EB9" w:rsidSect="007D0DBB">
      <w:headerReference w:type="default" r:id="rId10"/>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5D" w:rsidRDefault="00637E5D" w:rsidP="001240CC">
      <w:pPr>
        <w:spacing w:after="0" w:line="240" w:lineRule="auto"/>
      </w:pPr>
      <w:r>
        <w:separator/>
      </w:r>
    </w:p>
  </w:endnote>
  <w:endnote w:type="continuationSeparator" w:id="0">
    <w:p w:rsidR="00637E5D" w:rsidRDefault="00637E5D" w:rsidP="0012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5D" w:rsidRDefault="00637E5D" w:rsidP="001240CC">
      <w:pPr>
        <w:spacing w:after="0" w:line="240" w:lineRule="auto"/>
      </w:pPr>
      <w:r>
        <w:separator/>
      </w:r>
    </w:p>
  </w:footnote>
  <w:footnote w:type="continuationSeparator" w:id="0">
    <w:p w:rsidR="00637E5D" w:rsidRDefault="00637E5D" w:rsidP="00124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CC" w:rsidRDefault="00374B77">
    <w:pPr>
      <w:pStyle w:val="Intestazione"/>
    </w:pPr>
    <w:r>
      <w:rPr>
        <w:noProof/>
      </w:rPr>
      <w:drawing>
        <wp:inline distT="0" distB="0" distL="0" distR="0">
          <wp:extent cx="1695338" cy="468000"/>
          <wp:effectExtent l="0" t="0" r="63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e Principale_nuovo logo.jpg"/>
                  <pic:cNvPicPr/>
                </pic:nvPicPr>
                <pic:blipFill>
                  <a:blip r:embed="rId1">
                    <a:extLst>
                      <a:ext uri="{28A0092B-C50C-407E-A947-70E740481C1C}">
                        <a14:useLocalDpi xmlns:a14="http://schemas.microsoft.com/office/drawing/2010/main" val="0"/>
                      </a:ext>
                    </a:extLst>
                  </a:blip>
                  <a:stretch>
                    <a:fillRect/>
                  </a:stretch>
                </pic:blipFill>
                <pic:spPr>
                  <a:xfrm>
                    <a:off x="0" y="0"/>
                    <a:ext cx="1695338" cy="468000"/>
                  </a:xfrm>
                  <a:prstGeom prst="rect">
                    <a:avLst/>
                  </a:prstGeom>
                </pic:spPr>
              </pic:pic>
            </a:graphicData>
          </a:graphic>
        </wp:inline>
      </w:drawing>
    </w:r>
    <w:r>
      <w:t xml:space="preserve">                                                                                              </w:t>
    </w:r>
    <w:r>
      <w:rPr>
        <w:noProof/>
      </w:rPr>
      <w:drawing>
        <wp:inline distT="0" distB="0" distL="0" distR="0">
          <wp:extent cx="1376471" cy="468000"/>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jpg"/>
                  <pic:cNvPicPr/>
                </pic:nvPicPr>
                <pic:blipFill>
                  <a:blip r:embed="rId2">
                    <a:extLst>
                      <a:ext uri="{28A0092B-C50C-407E-A947-70E740481C1C}">
                        <a14:useLocalDpi xmlns:a14="http://schemas.microsoft.com/office/drawing/2010/main" val="0"/>
                      </a:ext>
                    </a:extLst>
                  </a:blip>
                  <a:stretch>
                    <a:fillRect/>
                  </a:stretch>
                </pic:blipFill>
                <pic:spPr>
                  <a:xfrm>
                    <a:off x="0" y="0"/>
                    <a:ext cx="1376471" cy="46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09AB"/>
    <w:multiLevelType w:val="hybridMultilevel"/>
    <w:tmpl w:val="42E49A32"/>
    <w:lvl w:ilvl="0" w:tplc="0410000F">
      <w:start w:val="1"/>
      <w:numFmt w:val="decimal"/>
      <w:lvlText w:val="%1."/>
      <w:lvlJc w:val="left"/>
      <w:pPr>
        <w:ind w:left="1440" w:hanging="360"/>
      </w:pPr>
    </w:lvl>
    <w:lvl w:ilvl="1" w:tplc="04100017">
      <w:start w:val="1"/>
      <w:numFmt w:val="lowerLetter"/>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1BA551FF"/>
    <w:multiLevelType w:val="hybridMultilevel"/>
    <w:tmpl w:val="F5E043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3051DD"/>
    <w:multiLevelType w:val="hybridMultilevel"/>
    <w:tmpl w:val="07161B14"/>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794CEB"/>
    <w:multiLevelType w:val="hybridMultilevel"/>
    <w:tmpl w:val="1F5C6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B91435"/>
    <w:multiLevelType w:val="hybridMultilevel"/>
    <w:tmpl w:val="AE00CF24"/>
    <w:lvl w:ilvl="0" w:tplc="989897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9335B3"/>
    <w:multiLevelType w:val="hybridMultilevel"/>
    <w:tmpl w:val="BBA6807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31CA4AAC"/>
    <w:multiLevelType w:val="hybridMultilevel"/>
    <w:tmpl w:val="D9E24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5175D5"/>
    <w:multiLevelType w:val="hybridMultilevel"/>
    <w:tmpl w:val="5C48CE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770A5F"/>
    <w:multiLevelType w:val="hybridMultilevel"/>
    <w:tmpl w:val="2D72B83A"/>
    <w:lvl w:ilvl="0" w:tplc="989897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036568"/>
    <w:multiLevelType w:val="hybridMultilevel"/>
    <w:tmpl w:val="4822AF66"/>
    <w:lvl w:ilvl="0" w:tplc="10480E1A">
      <w:numFmt w:val="bullet"/>
      <w:lvlText w:val="-"/>
      <w:lvlJc w:val="left"/>
      <w:pPr>
        <w:ind w:left="1077" w:hanging="360"/>
      </w:pPr>
      <w:rPr>
        <w:rFonts w:ascii="Arial" w:eastAsia="Arial"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506C0644"/>
    <w:multiLevelType w:val="hybridMultilevel"/>
    <w:tmpl w:val="11B22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8908BE"/>
    <w:multiLevelType w:val="hybridMultilevel"/>
    <w:tmpl w:val="044C5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8068C9"/>
    <w:multiLevelType w:val="hybridMultilevel"/>
    <w:tmpl w:val="70107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47A671A"/>
    <w:multiLevelType w:val="hybridMultilevel"/>
    <w:tmpl w:val="514AE42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64EE52B1"/>
    <w:multiLevelType w:val="hybridMultilevel"/>
    <w:tmpl w:val="1A78D142"/>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5">
    <w:nsid w:val="73EE4146"/>
    <w:multiLevelType w:val="hybridMultilevel"/>
    <w:tmpl w:val="97DC7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A944D46"/>
    <w:multiLevelType w:val="hybridMultilevel"/>
    <w:tmpl w:val="792ACC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989897D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6F5773"/>
    <w:multiLevelType w:val="hybridMultilevel"/>
    <w:tmpl w:val="5C6AB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E9976EC"/>
    <w:multiLevelType w:val="hybridMultilevel"/>
    <w:tmpl w:val="F5986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3"/>
  </w:num>
  <w:num w:numId="5">
    <w:abstractNumId w:val="0"/>
  </w:num>
  <w:num w:numId="6">
    <w:abstractNumId w:val="10"/>
  </w:num>
  <w:num w:numId="7">
    <w:abstractNumId w:val="15"/>
  </w:num>
  <w:num w:numId="8">
    <w:abstractNumId w:val="5"/>
  </w:num>
  <w:num w:numId="9">
    <w:abstractNumId w:val="7"/>
  </w:num>
  <w:num w:numId="10">
    <w:abstractNumId w:val="1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4"/>
  </w:num>
  <w:num w:numId="15">
    <w:abstractNumId w:val="16"/>
  </w:num>
  <w:num w:numId="16">
    <w:abstractNumId w:val="8"/>
  </w:num>
  <w:num w:numId="17">
    <w:abstractNumId w:val="17"/>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65B3"/>
    <w:rsid w:val="000134AC"/>
    <w:rsid w:val="000160A5"/>
    <w:rsid w:val="00020E6A"/>
    <w:rsid w:val="00022AC9"/>
    <w:rsid w:val="000303FB"/>
    <w:rsid w:val="00035A32"/>
    <w:rsid w:val="000372D7"/>
    <w:rsid w:val="00041876"/>
    <w:rsid w:val="000D3189"/>
    <w:rsid w:val="000F571D"/>
    <w:rsid w:val="00100FD8"/>
    <w:rsid w:val="00110C8A"/>
    <w:rsid w:val="001202AC"/>
    <w:rsid w:val="00120AFC"/>
    <w:rsid w:val="001240CC"/>
    <w:rsid w:val="00124F3D"/>
    <w:rsid w:val="00124FC8"/>
    <w:rsid w:val="00125329"/>
    <w:rsid w:val="00152539"/>
    <w:rsid w:val="00154BD4"/>
    <w:rsid w:val="001554B8"/>
    <w:rsid w:val="00161197"/>
    <w:rsid w:val="00164AE5"/>
    <w:rsid w:val="00164FE0"/>
    <w:rsid w:val="0017683B"/>
    <w:rsid w:val="00177178"/>
    <w:rsid w:val="00180C29"/>
    <w:rsid w:val="001B206E"/>
    <w:rsid w:val="001B3399"/>
    <w:rsid w:val="001B5EF7"/>
    <w:rsid w:val="001B7D22"/>
    <w:rsid w:val="001C2CC8"/>
    <w:rsid w:val="001D771F"/>
    <w:rsid w:val="001E3848"/>
    <w:rsid w:val="00204B1D"/>
    <w:rsid w:val="00210AE8"/>
    <w:rsid w:val="00217586"/>
    <w:rsid w:val="00221051"/>
    <w:rsid w:val="00223859"/>
    <w:rsid w:val="00237460"/>
    <w:rsid w:val="00246F8C"/>
    <w:rsid w:val="00252863"/>
    <w:rsid w:val="00264271"/>
    <w:rsid w:val="00270534"/>
    <w:rsid w:val="00297C28"/>
    <w:rsid w:val="002A4408"/>
    <w:rsid w:val="002A5652"/>
    <w:rsid w:val="002B34D2"/>
    <w:rsid w:val="002D0080"/>
    <w:rsid w:val="002E2935"/>
    <w:rsid w:val="002E2D71"/>
    <w:rsid w:val="002E3103"/>
    <w:rsid w:val="002F2DDD"/>
    <w:rsid w:val="002F4EE8"/>
    <w:rsid w:val="003052A3"/>
    <w:rsid w:val="003149C8"/>
    <w:rsid w:val="0031715A"/>
    <w:rsid w:val="003301AA"/>
    <w:rsid w:val="0033101E"/>
    <w:rsid w:val="00334CED"/>
    <w:rsid w:val="003531BF"/>
    <w:rsid w:val="00371093"/>
    <w:rsid w:val="00372178"/>
    <w:rsid w:val="00374B77"/>
    <w:rsid w:val="00375F8F"/>
    <w:rsid w:val="00384DBE"/>
    <w:rsid w:val="00394AB4"/>
    <w:rsid w:val="003979E9"/>
    <w:rsid w:val="003B069B"/>
    <w:rsid w:val="003B1FB9"/>
    <w:rsid w:val="003B48BE"/>
    <w:rsid w:val="003C4122"/>
    <w:rsid w:val="003C741B"/>
    <w:rsid w:val="003E1E6A"/>
    <w:rsid w:val="003F374D"/>
    <w:rsid w:val="0041306D"/>
    <w:rsid w:val="00414C71"/>
    <w:rsid w:val="004244BF"/>
    <w:rsid w:val="004353BC"/>
    <w:rsid w:val="00454B4D"/>
    <w:rsid w:val="0046205A"/>
    <w:rsid w:val="0049516C"/>
    <w:rsid w:val="004956DA"/>
    <w:rsid w:val="004A1866"/>
    <w:rsid w:val="004B3613"/>
    <w:rsid w:val="004B487A"/>
    <w:rsid w:val="004B60AF"/>
    <w:rsid w:val="004C67A2"/>
    <w:rsid w:val="004C67F0"/>
    <w:rsid w:val="004D2554"/>
    <w:rsid w:val="004F5143"/>
    <w:rsid w:val="00527F5C"/>
    <w:rsid w:val="00542081"/>
    <w:rsid w:val="005544FB"/>
    <w:rsid w:val="0055629B"/>
    <w:rsid w:val="005647D6"/>
    <w:rsid w:val="0057369F"/>
    <w:rsid w:val="00580C11"/>
    <w:rsid w:val="005A0806"/>
    <w:rsid w:val="005A45F9"/>
    <w:rsid w:val="005A6994"/>
    <w:rsid w:val="005A7877"/>
    <w:rsid w:val="005B0693"/>
    <w:rsid w:val="005B5ADB"/>
    <w:rsid w:val="005C6F57"/>
    <w:rsid w:val="005E24DE"/>
    <w:rsid w:val="005E6542"/>
    <w:rsid w:val="00604E9D"/>
    <w:rsid w:val="00615430"/>
    <w:rsid w:val="00631492"/>
    <w:rsid w:val="00637E5D"/>
    <w:rsid w:val="00654DBC"/>
    <w:rsid w:val="00662812"/>
    <w:rsid w:val="006705F7"/>
    <w:rsid w:val="00686F42"/>
    <w:rsid w:val="006935BD"/>
    <w:rsid w:val="006B0CD6"/>
    <w:rsid w:val="006B3C62"/>
    <w:rsid w:val="006C4BA5"/>
    <w:rsid w:val="006C7214"/>
    <w:rsid w:val="006D27B2"/>
    <w:rsid w:val="006D319A"/>
    <w:rsid w:val="006E632A"/>
    <w:rsid w:val="006F7AE7"/>
    <w:rsid w:val="0072726B"/>
    <w:rsid w:val="0073008C"/>
    <w:rsid w:val="00745E38"/>
    <w:rsid w:val="0074611C"/>
    <w:rsid w:val="00751277"/>
    <w:rsid w:val="0077500D"/>
    <w:rsid w:val="00797F81"/>
    <w:rsid w:val="007C20E3"/>
    <w:rsid w:val="007C4B07"/>
    <w:rsid w:val="007C71E6"/>
    <w:rsid w:val="007D0DBB"/>
    <w:rsid w:val="007D67DD"/>
    <w:rsid w:val="007E5154"/>
    <w:rsid w:val="007E6879"/>
    <w:rsid w:val="007E6FD8"/>
    <w:rsid w:val="007E7772"/>
    <w:rsid w:val="00814CF4"/>
    <w:rsid w:val="00824B9D"/>
    <w:rsid w:val="00830991"/>
    <w:rsid w:val="00846A20"/>
    <w:rsid w:val="008470ED"/>
    <w:rsid w:val="00854A6D"/>
    <w:rsid w:val="00856C31"/>
    <w:rsid w:val="0085737C"/>
    <w:rsid w:val="00864334"/>
    <w:rsid w:val="00865796"/>
    <w:rsid w:val="00877D41"/>
    <w:rsid w:val="008A5A81"/>
    <w:rsid w:val="008C0B09"/>
    <w:rsid w:val="008C14A8"/>
    <w:rsid w:val="008D20B4"/>
    <w:rsid w:val="008D2970"/>
    <w:rsid w:val="008D78A7"/>
    <w:rsid w:val="008E6A40"/>
    <w:rsid w:val="008F0DCF"/>
    <w:rsid w:val="008F2D23"/>
    <w:rsid w:val="008F454F"/>
    <w:rsid w:val="009167E5"/>
    <w:rsid w:val="00934427"/>
    <w:rsid w:val="00937BC0"/>
    <w:rsid w:val="009506EC"/>
    <w:rsid w:val="0095270D"/>
    <w:rsid w:val="00970A6F"/>
    <w:rsid w:val="00980E90"/>
    <w:rsid w:val="009B7F71"/>
    <w:rsid w:val="009C3B9B"/>
    <w:rsid w:val="009D53FC"/>
    <w:rsid w:val="009D74FA"/>
    <w:rsid w:val="009E011A"/>
    <w:rsid w:val="009E23B9"/>
    <w:rsid w:val="009E4B14"/>
    <w:rsid w:val="009E4C51"/>
    <w:rsid w:val="009E67F0"/>
    <w:rsid w:val="00A25B47"/>
    <w:rsid w:val="00A465B3"/>
    <w:rsid w:val="00A47FB1"/>
    <w:rsid w:val="00A53DBA"/>
    <w:rsid w:val="00A64F55"/>
    <w:rsid w:val="00A722B9"/>
    <w:rsid w:val="00A85346"/>
    <w:rsid w:val="00A85EB9"/>
    <w:rsid w:val="00A95788"/>
    <w:rsid w:val="00A9757A"/>
    <w:rsid w:val="00A97C50"/>
    <w:rsid w:val="00AA1697"/>
    <w:rsid w:val="00AD18CA"/>
    <w:rsid w:val="00AD3C6B"/>
    <w:rsid w:val="00AD5669"/>
    <w:rsid w:val="00AE3025"/>
    <w:rsid w:val="00AE747B"/>
    <w:rsid w:val="00AE7AB6"/>
    <w:rsid w:val="00B12627"/>
    <w:rsid w:val="00B25594"/>
    <w:rsid w:val="00B273E1"/>
    <w:rsid w:val="00B30BAB"/>
    <w:rsid w:val="00B316E4"/>
    <w:rsid w:val="00B81540"/>
    <w:rsid w:val="00B83D83"/>
    <w:rsid w:val="00BA0F5C"/>
    <w:rsid w:val="00BD64E6"/>
    <w:rsid w:val="00BE2EDF"/>
    <w:rsid w:val="00BF5D0A"/>
    <w:rsid w:val="00BF6F41"/>
    <w:rsid w:val="00BF73A1"/>
    <w:rsid w:val="00C0543B"/>
    <w:rsid w:val="00C107EB"/>
    <w:rsid w:val="00C142FE"/>
    <w:rsid w:val="00C308AE"/>
    <w:rsid w:val="00C453E1"/>
    <w:rsid w:val="00C62882"/>
    <w:rsid w:val="00C769F2"/>
    <w:rsid w:val="00C80A54"/>
    <w:rsid w:val="00C84D60"/>
    <w:rsid w:val="00C874D5"/>
    <w:rsid w:val="00C9672E"/>
    <w:rsid w:val="00C96D83"/>
    <w:rsid w:val="00C97FC8"/>
    <w:rsid w:val="00CC6650"/>
    <w:rsid w:val="00D0666A"/>
    <w:rsid w:val="00D06977"/>
    <w:rsid w:val="00D12BDC"/>
    <w:rsid w:val="00D12C2A"/>
    <w:rsid w:val="00D2298C"/>
    <w:rsid w:val="00D43B9F"/>
    <w:rsid w:val="00D51695"/>
    <w:rsid w:val="00D60BBE"/>
    <w:rsid w:val="00D6627A"/>
    <w:rsid w:val="00D76841"/>
    <w:rsid w:val="00D83BBB"/>
    <w:rsid w:val="00D83FEB"/>
    <w:rsid w:val="00D92DFC"/>
    <w:rsid w:val="00D96595"/>
    <w:rsid w:val="00DA0716"/>
    <w:rsid w:val="00DC2A42"/>
    <w:rsid w:val="00DD29BA"/>
    <w:rsid w:val="00DE4F3A"/>
    <w:rsid w:val="00DE6715"/>
    <w:rsid w:val="00DE6FB7"/>
    <w:rsid w:val="00DF7261"/>
    <w:rsid w:val="00E0488E"/>
    <w:rsid w:val="00E11046"/>
    <w:rsid w:val="00E1362B"/>
    <w:rsid w:val="00E16C69"/>
    <w:rsid w:val="00E26B6E"/>
    <w:rsid w:val="00E32F3F"/>
    <w:rsid w:val="00E353BD"/>
    <w:rsid w:val="00E448F2"/>
    <w:rsid w:val="00E63A39"/>
    <w:rsid w:val="00E745AB"/>
    <w:rsid w:val="00E82046"/>
    <w:rsid w:val="00E9549E"/>
    <w:rsid w:val="00EB0668"/>
    <w:rsid w:val="00EB7D22"/>
    <w:rsid w:val="00EC2FB3"/>
    <w:rsid w:val="00EC308C"/>
    <w:rsid w:val="00F021DB"/>
    <w:rsid w:val="00F229C2"/>
    <w:rsid w:val="00F3552B"/>
    <w:rsid w:val="00F54CF3"/>
    <w:rsid w:val="00F56AA7"/>
    <w:rsid w:val="00F74D14"/>
    <w:rsid w:val="00F77BB2"/>
    <w:rsid w:val="00F838C5"/>
    <w:rsid w:val="00F90B2B"/>
    <w:rsid w:val="00F90CF2"/>
    <w:rsid w:val="00FA0078"/>
    <w:rsid w:val="00FB0841"/>
    <w:rsid w:val="00FC35D9"/>
    <w:rsid w:val="00FC7231"/>
    <w:rsid w:val="00FD4701"/>
    <w:rsid w:val="00FF4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A42"/>
  </w:style>
  <w:style w:type="paragraph" w:styleId="Titolo1">
    <w:name w:val="heading 1"/>
    <w:basedOn w:val="Normale"/>
    <w:next w:val="Normale"/>
    <w:link w:val="Titolo1Carattere"/>
    <w:uiPriority w:val="9"/>
    <w:qFormat/>
    <w:rsid w:val="00374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53D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65B3"/>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A465B3"/>
    <w:rPr>
      <w:rFonts w:ascii="Calibri" w:eastAsia="Calibri" w:hAnsi="Calibri" w:cs="Times New Roman"/>
    </w:rPr>
  </w:style>
  <w:style w:type="paragraph" w:styleId="Paragrafoelenco">
    <w:name w:val="List Paragraph"/>
    <w:basedOn w:val="Normale"/>
    <w:uiPriority w:val="34"/>
    <w:qFormat/>
    <w:rsid w:val="00B30BAB"/>
    <w:pPr>
      <w:ind w:left="720"/>
      <w:contextualSpacing/>
    </w:pPr>
  </w:style>
  <w:style w:type="paragraph" w:styleId="Pidipagina">
    <w:name w:val="footer"/>
    <w:basedOn w:val="Normale"/>
    <w:link w:val="PidipaginaCarattere"/>
    <w:uiPriority w:val="99"/>
    <w:unhideWhenUsed/>
    <w:rsid w:val="001240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0CC"/>
  </w:style>
  <w:style w:type="paragraph" w:styleId="Testofumetto">
    <w:name w:val="Balloon Text"/>
    <w:basedOn w:val="Normale"/>
    <w:link w:val="TestofumettoCarattere"/>
    <w:uiPriority w:val="99"/>
    <w:semiHidden/>
    <w:unhideWhenUsed/>
    <w:rsid w:val="001240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0CC"/>
    <w:rPr>
      <w:rFonts w:ascii="Tahoma" w:hAnsi="Tahoma" w:cs="Tahoma"/>
      <w:sz w:val="16"/>
      <w:szCs w:val="16"/>
    </w:rPr>
  </w:style>
  <w:style w:type="paragraph" w:styleId="Corpotesto">
    <w:name w:val="Body Text"/>
    <w:basedOn w:val="Normale"/>
    <w:link w:val="CorpotestoCarattere"/>
    <w:uiPriority w:val="99"/>
    <w:unhideWhenUsed/>
    <w:rsid w:val="008C0B09"/>
    <w:pPr>
      <w:spacing w:after="120" w:line="240" w:lineRule="auto"/>
    </w:pPr>
    <w:rPr>
      <w:rFonts w:ascii="Times New Roman" w:hAnsi="Times New Roman" w:cs="Times New Roman"/>
      <w:sz w:val="24"/>
      <w:szCs w:val="24"/>
    </w:rPr>
  </w:style>
  <w:style w:type="character" w:customStyle="1" w:styleId="CorpotestoCarattere">
    <w:name w:val="Corpo testo Carattere"/>
    <w:basedOn w:val="Carpredefinitoparagrafo"/>
    <w:link w:val="Corpotesto"/>
    <w:uiPriority w:val="99"/>
    <w:rsid w:val="008C0B09"/>
    <w:rPr>
      <w:rFonts w:ascii="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A53DBA"/>
    <w:rPr>
      <w:rFonts w:asciiTheme="majorHAnsi" w:eastAsiaTheme="majorEastAsia" w:hAnsiTheme="majorHAnsi" w:cstheme="majorBidi"/>
      <w:b/>
      <w:bCs/>
      <w:color w:val="4F81BD" w:themeColor="accent1"/>
      <w:sz w:val="26"/>
      <w:szCs w:val="26"/>
    </w:rPr>
  </w:style>
  <w:style w:type="character" w:styleId="Rimandocommento">
    <w:name w:val="annotation reference"/>
    <w:basedOn w:val="Carpredefinitoparagrafo"/>
    <w:uiPriority w:val="99"/>
    <w:semiHidden/>
    <w:unhideWhenUsed/>
    <w:rsid w:val="00F90CF2"/>
    <w:rPr>
      <w:sz w:val="16"/>
      <w:szCs w:val="16"/>
    </w:rPr>
  </w:style>
  <w:style w:type="paragraph" w:styleId="Testocommento">
    <w:name w:val="annotation text"/>
    <w:basedOn w:val="Normale"/>
    <w:link w:val="TestocommentoCarattere"/>
    <w:uiPriority w:val="99"/>
    <w:semiHidden/>
    <w:unhideWhenUsed/>
    <w:rsid w:val="00F90CF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90CF2"/>
    <w:rPr>
      <w:sz w:val="20"/>
      <w:szCs w:val="20"/>
    </w:rPr>
  </w:style>
  <w:style w:type="paragraph" w:styleId="Soggettocommento">
    <w:name w:val="annotation subject"/>
    <w:basedOn w:val="Testocommento"/>
    <w:next w:val="Testocommento"/>
    <w:link w:val="SoggettocommentoCarattere"/>
    <w:uiPriority w:val="99"/>
    <w:semiHidden/>
    <w:unhideWhenUsed/>
    <w:rsid w:val="00F90CF2"/>
    <w:rPr>
      <w:b/>
      <w:bCs/>
    </w:rPr>
  </w:style>
  <w:style w:type="character" w:customStyle="1" w:styleId="SoggettocommentoCarattere">
    <w:name w:val="Soggetto commento Carattere"/>
    <w:basedOn w:val="TestocommentoCarattere"/>
    <w:link w:val="Soggettocommento"/>
    <w:uiPriority w:val="99"/>
    <w:semiHidden/>
    <w:rsid w:val="00F90CF2"/>
    <w:rPr>
      <w:b/>
      <w:bCs/>
      <w:sz w:val="20"/>
      <w:szCs w:val="20"/>
    </w:rPr>
  </w:style>
  <w:style w:type="paragraph" w:styleId="Nessunaspaziatura">
    <w:name w:val="No Spacing"/>
    <w:uiPriority w:val="1"/>
    <w:qFormat/>
    <w:rsid w:val="002E2935"/>
    <w:pPr>
      <w:spacing w:after="0" w:line="240" w:lineRule="auto"/>
    </w:pPr>
  </w:style>
  <w:style w:type="character" w:styleId="Enfasigrassetto">
    <w:name w:val="Strong"/>
    <w:basedOn w:val="Carpredefinitoparagrafo"/>
    <w:uiPriority w:val="22"/>
    <w:qFormat/>
    <w:rsid w:val="002B34D2"/>
    <w:rPr>
      <w:b/>
      <w:bCs/>
    </w:rPr>
  </w:style>
  <w:style w:type="paragraph" w:styleId="Revisione">
    <w:name w:val="Revision"/>
    <w:hidden/>
    <w:uiPriority w:val="99"/>
    <w:semiHidden/>
    <w:rsid w:val="004B60AF"/>
    <w:pPr>
      <w:spacing w:after="0" w:line="240" w:lineRule="auto"/>
    </w:pPr>
  </w:style>
  <w:style w:type="character" w:customStyle="1" w:styleId="Titolo1Carattere">
    <w:name w:val="Titolo 1 Carattere"/>
    <w:basedOn w:val="Carpredefinitoparagrafo"/>
    <w:link w:val="Titolo1"/>
    <w:uiPriority w:val="9"/>
    <w:rsid w:val="00374B77"/>
    <w:rPr>
      <w:rFonts w:asciiTheme="majorHAnsi" w:eastAsiaTheme="majorEastAsia" w:hAnsiTheme="majorHAnsi" w:cstheme="majorBidi"/>
      <w:b/>
      <w:bCs/>
      <w:color w:val="365F91" w:themeColor="accent1" w:themeShade="BF"/>
      <w:sz w:val="28"/>
      <w:szCs w:val="28"/>
    </w:rPr>
  </w:style>
  <w:style w:type="paragraph" w:styleId="Mappadocumento">
    <w:name w:val="Document Map"/>
    <w:basedOn w:val="Normale"/>
    <w:link w:val="MappadocumentoCarattere"/>
    <w:uiPriority w:val="99"/>
    <w:semiHidden/>
    <w:unhideWhenUsed/>
    <w:rsid w:val="00124FC8"/>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24FC8"/>
    <w:rPr>
      <w:rFonts w:ascii="Tahoma" w:hAnsi="Tahoma" w:cs="Tahoma"/>
      <w:sz w:val="16"/>
      <w:szCs w:val="16"/>
    </w:rPr>
  </w:style>
  <w:style w:type="character" w:customStyle="1" w:styleId="apple-converted-space">
    <w:name w:val="apple-converted-space"/>
    <w:basedOn w:val="Carpredefinitoparagrafo"/>
    <w:rsid w:val="00F74D14"/>
  </w:style>
  <w:style w:type="character" w:styleId="Collegamentoipertestuale">
    <w:name w:val="Hyperlink"/>
    <w:basedOn w:val="Carpredefinitoparagrafo"/>
    <w:uiPriority w:val="99"/>
    <w:unhideWhenUsed/>
    <w:rsid w:val="00BE2EDF"/>
    <w:rPr>
      <w:color w:val="0000FF"/>
      <w:u w:val="single"/>
    </w:rPr>
  </w:style>
  <w:style w:type="paragraph" w:customStyle="1" w:styleId="provvr0">
    <w:name w:val="provv_r0"/>
    <w:basedOn w:val="Normale"/>
    <w:rsid w:val="004F514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provvnumart">
    <w:name w:val="provv_numart"/>
    <w:basedOn w:val="Carpredefinitoparagrafo"/>
    <w:rsid w:val="004F5143"/>
    <w:rPr>
      <w:b/>
      <w:bCs/>
    </w:rPr>
  </w:style>
  <w:style w:type="character" w:customStyle="1" w:styleId="provvrubrica">
    <w:name w:val="provv_rubrica"/>
    <w:basedOn w:val="Carpredefinitoparagrafo"/>
    <w:rsid w:val="004F51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74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53D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65B3"/>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A465B3"/>
    <w:rPr>
      <w:rFonts w:ascii="Calibri" w:eastAsia="Calibri" w:hAnsi="Calibri" w:cs="Times New Roman"/>
    </w:rPr>
  </w:style>
  <w:style w:type="paragraph" w:styleId="Paragrafoelenco">
    <w:name w:val="List Paragraph"/>
    <w:basedOn w:val="Normale"/>
    <w:uiPriority w:val="34"/>
    <w:qFormat/>
    <w:rsid w:val="00B30BAB"/>
    <w:pPr>
      <w:ind w:left="720"/>
      <w:contextualSpacing/>
    </w:pPr>
  </w:style>
  <w:style w:type="paragraph" w:styleId="Pidipagina">
    <w:name w:val="footer"/>
    <w:basedOn w:val="Normale"/>
    <w:link w:val="PidipaginaCarattere"/>
    <w:uiPriority w:val="99"/>
    <w:unhideWhenUsed/>
    <w:rsid w:val="001240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0CC"/>
  </w:style>
  <w:style w:type="paragraph" w:styleId="Testofumetto">
    <w:name w:val="Balloon Text"/>
    <w:basedOn w:val="Normale"/>
    <w:link w:val="TestofumettoCarattere"/>
    <w:uiPriority w:val="99"/>
    <w:semiHidden/>
    <w:unhideWhenUsed/>
    <w:rsid w:val="001240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0CC"/>
    <w:rPr>
      <w:rFonts w:ascii="Tahoma" w:hAnsi="Tahoma" w:cs="Tahoma"/>
      <w:sz w:val="16"/>
      <w:szCs w:val="16"/>
    </w:rPr>
  </w:style>
  <w:style w:type="paragraph" w:styleId="Corpotesto">
    <w:name w:val="Body Text"/>
    <w:basedOn w:val="Normale"/>
    <w:link w:val="CorpotestoCarattere"/>
    <w:uiPriority w:val="99"/>
    <w:unhideWhenUsed/>
    <w:rsid w:val="008C0B09"/>
    <w:pPr>
      <w:spacing w:after="120" w:line="240" w:lineRule="auto"/>
    </w:pPr>
    <w:rPr>
      <w:rFonts w:ascii="Times New Roman" w:hAnsi="Times New Roman" w:cs="Times New Roman"/>
      <w:sz w:val="24"/>
      <w:szCs w:val="24"/>
    </w:rPr>
  </w:style>
  <w:style w:type="character" w:customStyle="1" w:styleId="CorpotestoCarattere">
    <w:name w:val="Corpo testo Carattere"/>
    <w:basedOn w:val="Carpredefinitoparagrafo"/>
    <w:link w:val="Corpotesto"/>
    <w:uiPriority w:val="99"/>
    <w:rsid w:val="008C0B09"/>
    <w:rPr>
      <w:rFonts w:ascii="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A53DBA"/>
    <w:rPr>
      <w:rFonts w:asciiTheme="majorHAnsi" w:eastAsiaTheme="majorEastAsia" w:hAnsiTheme="majorHAnsi" w:cstheme="majorBidi"/>
      <w:b/>
      <w:bCs/>
      <w:color w:val="4F81BD" w:themeColor="accent1"/>
      <w:sz w:val="26"/>
      <w:szCs w:val="26"/>
    </w:rPr>
  </w:style>
  <w:style w:type="character" w:styleId="Rimandocommento">
    <w:name w:val="annotation reference"/>
    <w:basedOn w:val="Carpredefinitoparagrafo"/>
    <w:uiPriority w:val="99"/>
    <w:semiHidden/>
    <w:unhideWhenUsed/>
    <w:rsid w:val="00F90CF2"/>
    <w:rPr>
      <w:sz w:val="16"/>
      <w:szCs w:val="16"/>
    </w:rPr>
  </w:style>
  <w:style w:type="paragraph" w:styleId="Testocommento">
    <w:name w:val="annotation text"/>
    <w:basedOn w:val="Normale"/>
    <w:link w:val="TestocommentoCarattere"/>
    <w:uiPriority w:val="99"/>
    <w:semiHidden/>
    <w:unhideWhenUsed/>
    <w:rsid w:val="00F90CF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90CF2"/>
    <w:rPr>
      <w:sz w:val="20"/>
      <w:szCs w:val="20"/>
    </w:rPr>
  </w:style>
  <w:style w:type="paragraph" w:styleId="Soggettocommento">
    <w:name w:val="annotation subject"/>
    <w:basedOn w:val="Testocommento"/>
    <w:next w:val="Testocommento"/>
    <w:link w:val="SoggettocommentoCarattere"/>
    <w:uiPriority w:val="99"/>
    <w:semiHidden/>
    <w:unhideWhenUsed/>
    <w:rsid w:val="00F90CF2"/>
    <w:rPr>
      <w:b/>
      <w:bCs/>
    </w:rPr>
  </w:style>
  <w:style w:type="character" w:customStyle="1" w:styleId="SoggettocommentoCarattere">
    <w:name w:val="Soggetto commento Carattere"/>
    <w:basedOn w:val="TestocommentoCarattere"/>
    <w:link w:val="Soggettocommento"/>
    <w:uiPriority w:val="99"/>
    <w:semiHidden/>
    <w:rsid w:val="00F90CF2"/>
    <w:rPr>
      <w:b/>
      <w:bCs/>
      <w:sz w:val="20"/>
      <w:szCs w:val="20"/>
    </w:rPr>
  </w:style>
  <w:style w:type="paragraph" w:styleId="Nessunaspaziatura">
    <w:name w:val="No Spacing"/>
    <w:uiPriority w:val="1"/>
    <w:qFormat/>
    <w:rsid w:val="002E2935"/>
    <w:pPr>
      <w:spacing w:after="0" w:line="240" w:lineRule="auto"/>
    </w:pPr>
  </w:style>
  <w:style w:type="character" w:styleId="Enfasigrassetto">
    <w:name w:val="Strong"/>
    <w:basedOn w:val="Carpredefinitoparagrafo"/>
    <w:uiPriority w:val="22"/>
    <w:qFormat/>
    <w:rsid w:val="002B34D2"/>
    <w:rPr>
      <w:b/>
      <w:bCs/>
    </w:rPr>
  </w:style>
  <w:style w:type="paragraph" w:styleId="Revisione">
    <w:name w:val="Revision"/>
    <w:hidden/>
    <w:uiPriority w:val="99"/>
    <w:semiHidden/>
    <w:rsid w:val="004B60AF"/>
    <w:pPr>
      <w:spacing w:after="0" w:line="240" w:lineRule="auto"/>
    </w:pPr>
  </w:style>
  <w:style w:type="character" w:customStyle="1" w:styleId="Titolo1Carattere">
    <w:name w:val="Titolo 1 Carattere"/>
    <w:basedOn w:val="Carpredefinitoparagrafo"/>
    <w:link w:val="Titolo1"/>
    <w:uiPriority w:val="9"/>
    <w:rsid w:val="00374B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3726">
      <w:bodyDiv w:val="1"/>
      <w:marLeft w:val="0"/>
      <w:marRight w:val="0"/>
      <w:marTop w:val="0"/>
      <w:marBottom w:val="0"/>
      <w:divBdr>
        <w:top w:val="none" w:sz="0" w:space="0" w:color="auto"/>
        <w:left w:val="none" w:sz="0" w:space="0" w:color="auto"/>
        <w:bottom w:val="none" w:sz="0" w:space="0" w:color="auto"/>
        <w:right w:val="none" w:sz="0" w:space="0" w:color="auto"/>
      </w:divBdr>
    </w:div>
    <w:div w:id="293567098">
      <w:bodyDiv w:val="1"/>
      <w:marLeft w:val="0"/>
      <w:marRight w:val="0"/>
      <w:marTop w:val="0"/>
      <w:marBottom w:val="0"/>
      <w:divBdr>
        <w:top w:val="none" w:sz="0" w:space="0" w:color="auto"/>
        <w:left w:val="none" w:sz="0" w:space="0" w:color="auto"/>
        <w:bottom w:val="none" w:sz="0" w:space="0" w:color="auto"/>
        <w:right w:val="none" w:sz="0" w:space="0" w:color="auto"/>
      </w:divBdr>
      <w:divsChild>
        <w:div w:id="2140029407">
          <w:marLeft w:val="0"/>
          <w:marRight w:val="0"/>
          <w:marTop w:val="0"/>
          <w:marBottom w:val="0"/>
          <w:divBdr>
            <w:top w:val="none" w:sz="0" w:space="0" w:color="auto"/>
            <w:left w:val="none" w:sz="0" w:space="0" w:color="auto"/>
            <w:bottom w:val="none" w:sz="0" w:space="0" w:color="auto"/>
            <w:right w:val="none" w:sz="0" w:space="0" w:color="auto"/>
          </w:divBdr>
          <w:divsChild>
            <w:div w:id="33620632">
              <w:marLeft w:val="0"/>
              <w:marRight w:val="0"/>
              <w:marTop w:val="0"/>
              <w:marBottom w:val="0"/>
              <w:divBdr>
                <w:top w:val="none" w:sz="0" w:space="0" w:color="auto"/>
                <w:left w:val="none" w:sz="0" w:space="0" w:color="auto"/>
                <w:bottom w:val="none" w:sz="0" w:space="0" w:color="auto"/>
                <w:right w:val="none" w:sz="0" w:space="0" w:color="auto"/>
              </w:divBdr>
              <w:divsChild>
                <w:div w:id="1234894985">
                  <w:marLeft w:val="0"/>
                  <w:marRight w:val="0"/>
                  <w:marTop w:val="0"/>
                  <w:marBottom w:val="0"/>
                  <w:divBdr>
                    <w:top w:val="none" w:sz="0" w:space="0" w:color="auto"/>
                    <w:left w:val="none" w:sz="0" w:space="0" w:color="auto"/>
                    <w:bottom w:val="none" w:sz="0" w:space="0" w:color="auto"/>
                    <w:right w:val="none" w:sz="0" w:space="0" w:color="auto"/>
                  </w:divBdr>
                  <w:divsChild>
                    <w:div w:id="873083868">
                      <w:marLeft w:val="300"/>
                      <w:marRight w:val="240"/>
                      <w:marTop w:val="0"/>
                      <w:marBottom w:val="0"/>
                      <w:divBdr>
                        <w:top w:val="none" w:sz="0" w:space="0" w:color="auto"/>
                        <w:left w:val="none" w:sz="0" w:space="0" w:color="auto"/>
                        <w:bottom w:val="none" w:sz="0" w:space="0" w:color="auto"/>
                        <w:right w:val="none" w:sz="0" w:space="0" w:color="auto"/>
                      </w:divBdr>
                      <w:divsChild>
                        <w:div w:id="535386460">
                          <w:marLeft w:val="0"/>
                          <w:marRight w:val="0"/>
                          <w:marTop w:val="0"/>
                          <w:marBottom w:val="0"/>
                          <w:divBdr>
                            <w:top w:val="none" w:sz="0" w:space="0" w:color="auto"/>
                            <w:left w:val="none" w:sz="0" w:space="0" w:color="auto"/>
                            <w:bottom w:val="none" w:sz="0" w:space="0" w:color="auto"/>
                            <w:right w:val="none" w:sz="0" w:space="0" w:color="auto"/>
                          </w:divBdr>
                          <w:divsChild>
                            <w:div w:id="1212497545">
                              <w:marLeft w:val="0"/>
                              <w:marRight w:val="0"/>
                              <w:marTop w:val="0"/>
                              <w:marBottom w:val="0"/>
                              <w:divBdr>
                                <w:top w:val="none" w:sz="0" w:space="0" w:color="auto"/>
                                <w:left w:val="none" w:sz="0" w:space="0" w:color="auto"/>
                                <w:bottom w:val="none" w:sz="0" w:space="0" w:color="auto"/>
                                <w:right w:val="none" w:sz="0" w:space="0" w:color="auto"/>
                              </w:divBdr>
                              <w:divsChild>
                                <w:div w:id="1324815420">
                                  <w:marLeft w:val="0"/>
                                  <w:marRight w:val="0"/>
                                  <w:marTop w:val="0"/>
                                  <w:marBottom w:val="0"/>
                                  <w:divBdr>
                                    <w:top w:val="none" w:sz="0" w:space="0" w:color="auto"/>
                                    <w:left w:val="none" w:sz="0" w:space="0" w:color="auto"/>
                                    <w:bottom w:val="none" w:sz="0" w:space="0" w:color="auto"/>
                                    <w:right w:val="none" w:sz="0" w:space="0" w:color="auto"/>
                                  </w:divBdr>
                                  <w:divsChild>
                                    <w:div w:id="1372803954">
                                      <w:marLeft w:val="0"/>
                                      <w:marRight w:val="0"/>
                                      <w:marTop w:val="0"/>
                                      <w:marBottom w:val="0"/>
                                      <w:divBdr>
                                        <w:top w:val="none" w:sz="0" w:space="0" w:color="auto"/>
                                        <w:left w:val="none" w:sz="0" w:space="0" w:color="auto"/>
                                        <w:bottom w:val="none" w:sz="0" w:space="0" w:color="auto"/>
                                        <w:right w:val="none" w:sz="0" w:space="0" w:color="auto"/>
                                      </w:divBdr>
                                      <w:divsChild>
                                        <w:div w:id="12330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469302">
      <w:bodyDiv w:val="1"/>
      <w:marLeft w:val="0"/>
      <w:marRight w:val="0"/>
      <w:marTop w:val="0"/>
      <w:marBottom w:val="0"/>
      <w:divBdr>
        <w:top w:val="none" w:sz="0" w:space="0" w:color="auto"/>
        <w:left w:val="none" w:sz="0" w:space="0" w:color="auto"/>
        <w:bottom w:val="none" w:sz="0" w:space="0" w:color="auto"/>
        <w:right w:val="none" w:sz="0" w:space="0" w:color="auto"/>
      </w:divBdr>
    </w:div>
    <w:div w:id="437213933">
      <w:bodyDiv w:val="1"/>
      <w:marLeft w:val="0"/>
      <w:marRight w:val="0"/>
      <w:marTop w:val="0"/>
      <w:marBottom w:val="0"/>
      <w:divBdr>
        <w:top w:val="none" w:sz="0" w:space="0" w:color="auto"/>
        <w:left w:val="none" w:sz="0" w:space="0" w:color="auto"/>
        <w:bottom w:val="none" w:sz="0" w:space="0" w:color="auto"/>
        <w:right w:val="none" w:sz="0" w:space="0" w:color="auto"/>
      </w:divBdr>
      <w:divsChild>
        <w:div w:id="184100464">
          <w:marLeft w:val="0"/>
          <w:marRight w:val="0"/>
          <w:marTop w:val="0"/>
          <w:marBottom w:val="0"/>
          <w:divBdr>
            <w:top w:val="none" w:sz="0" w:space="0" w:color="auto"/>
            <w:left w:val="none" w:sz="0" w:space="0" w:color="auto"/>
            <w:bottom w:val="none" w:sz="0" w:space="0" w:color="auto"/>
            <w:right w:val="none" w:sz="0" w:space="0" w:color="auto"/>
          </w:divBdr>
          <w:divsChild>
            <w:div w:id="949320539">
              <w:marLeft w:val="0"/>
              <w:marRight w:val="0"/>
              <w:marTop w:val="0"/>
              <w:marBottom w:val="0"/>
              <w:divBdr>
                <w:top w:val="none" w:sz="0" w:space="0" w:color="auto"/>
                <w:left w:val="none" w:sz="0" w:space="0" w:color="auto"/>
                <w:bottom w:val="none" w:sz="0" w:space="0" w:color="auto"/>
                <w:right w:val="none" w:sz="0" w:space="0" w:color="auto"/>
              </w:divBdr>
              <w:divsChild>
                <w:div w:id="443617583">
                  <w:marLeft w:val="0"/>
                  <w:marRight w:val="0"/>
                  <w:marTop w:val="0"/>
                  <w:marBottom w:val="0"/>
                  <w:divBdr>
                    <w:top w:val="none" w:sz="0" w:space="0" w:color="auto"/>
                    <w:left w:val="none" w:sz="0" w:space="0" w:color="auto"/>
                    <w:bottom w:val="none" w:sz="0" w:space="0" w:color="auto"/>
                    <w:right w:val="none" w:sz="0" w:space="0" w:color="auto"/>
                  </w:divBdr>
                  <w:divsChild>
                    <w:div w:id="1169056501">
                      <w:marLeft w:val="0"/>
                      <w:marRight w:val="0"/>
                      <w:marTop w:val="0"/>
                      <w:marBottom w:val="0"/>
                      <w:divBdr>
                        <w:top w:val="none" w:sz="0" w:space="0" w:color="auto"/>
                        <w:left w:val="none" w:sz="0" w:space="0" w:color="auto"/>
                        <w:bottom w:val="none" w:sz="0" w:space="0" w:color="auto"/>
                        <w:right w:val="none" w:sz="0" w:space="0" w:color="auto"/>
                      </w:divBdr>
                    </w:div>
                    <w:div w:id="330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07438">
      <w:bodyDiv w:val="1"/>
      <w:marLeft w:val="0"/>
      <w:marRight w:val="0"/>
      <w:marTop w:val="0"/>
      <w:marBottom w:val="0"/>
      <w:divBdr>
        <w:top w:val="none" w:sz="0" w:space="0" w:color="auto"/>
        <w:left w:val="none" w:sz="0" w:space="0" w:color="auto"/>
        <w:bottom w:val="none" w:sz="0" w:space="0" w:color="auto"/>
        <w:right w:val="none" w:sz="0" w:space="0" w:color="auto"/>
      </w:divBdr>
    </w:div>
    <w:div w:id="1104958829">
      <w:bodyDiv w:val="1"/>
      <w:marLeft w:val="0"/>
      <w:marRight w:val="0"/>
      <w:marTop w:val="0"/>
      <w:marBottom w:val="0"/>
      <w:divBdr>
        <w:top w:val="none" w:sz="0" w:space="0" w:color="auto"/>
        <w:left w:val="none" w:sz="0" w:space="0" w:color="auto"/>
        <w:bottom w:val="none" w:sz="0" w:space="0" w:color="auto"/>
        <w:right w:val="none" w:sz="0" w:space="0" w:color="auto"/>
      </w:divBdr>
    </w:div>
    <w:div w:id="1183982852">
      <w:bodyDiv w:val="1"/>
      <w:marLeft w:val="0"/>
      <w:marRight w:val="0"/>
      <w:marTop w:val="0"/>
      <w:marBottom w:val="0"/>
      <w:divBdr>
        <w:top w:val="none" w:sz="0" w:space="0" w:color="auto"/>
        <w:left w:val="none" w:sz="0" w:space="0" w:color="auto"/>
        <w:bottom w:val="none" w:sz="0" w:space="0" w:color="auto"/>
        <w:right w:val="none" w:sz="0" w:space="0" w:color="auto"/>
      </w:divBdr>
    </w:div>
    <w:div w:id="1292050797">
      <w:bodyDiv w:val="1"/>
      <w:marLeft w:val="0"/>
      <w:marRight w:val="0"/>
      <w:marTop w:val="0"/>
      <w:marBottom w:val="0"/>
      <w:divBdr>
        <w:top w:val="none" w:sz="0" w:space="0" w:color="auto"/>
        <w:left w:val="none" w:sz="0" w:space="0" w:color="auto"/>
        <w:bottom w:val="none" w:sz="0" w:space="0" w:color="auto"/>
        <w:right w:val="none" w:sz="0" w:space="0" w:color="auto"/>
      </w:divBdr>
    </w:div>
    <w:div w:id="1415084481">
      <w:bodyDiv w:val="1"/>
      <w:marLeft w:val="0"/>
      <w:marRight w:val="0"/>
      <w:marTop w:val="0"/>
      <w:marBottom w:val="0"/>
      <w:divBdr>
        <w:top w:val="none" w:sz="0" w:space="0" w:color="auto"/>
        <w:left w:val="none" w:sz="0" w:space="0" w:color="auto"/>
        <w:bottom w:val="none" w:sz="0" w:space="0" w:color="auto"/>
        <w:right w:val="none" w:sz="0" w:space="0" w:color="auto"/>
      </w:divBdr>
      <w:divsChild>
        <w:div w:id="1322194439">
          <w:marLeft w:val="0"/>
          <w:marRight w:val="0"/>
          <w:marTop w:val="0"/>
          <w:marBottom w:val="0"/>
          <w:divBdr>
            <w:top w:val="none" w:sz="0" w:space="0" w:color="auto"/>
            <w:left w:val="none" w:sz="0" w:space="0" w:color="auto"/>
            <w:bottom w:val="none" w:sz="0" w:space="0" w:color="auto"/>
            <w:right w:val="none" w:sz="0" w:space="0" w:color="auto"/>
          </w:divBdr>
          <w:divsChild>
            <w:div w:id="1040516991">
              <w:marLeft w:val="0"/>
              <w:marRight w:val="0"/>
              <w:marTop w:val="0"/>
              <w:marBottom w:val="0"/>
              <w:divBdr>
                <w:top w:val="none" w:sz="0" w:space="0" w:color="auto"/>
                <w:left w:val="none" w:sz="0" w:space="0" w:color="auto"/>
                <w:bottom w:val="none" w:sz="0" w:space="0" w:color="auto"/>
                <w:right w:val="none" w:sz="0" w:space="0" w:color="auto"/>
              </w:divBdr>
            </w:div>
          </w:divsChild>
        </w:div>
        <w:div w:id="658922998">
          <w:marLeft w:val="0"/>
          <w:marRight w:val="0"/>
          <w:marTop w:val="0"/>
          <w:marBottom w:val="0"/>
          <w:divBdr>
            <w:top w:val="none" w:sz="0" w:space="0" w:color="auto"/>
            <w:left w:val="none" w:sz="0" w:space="0" w:color="auto"/>
            <w:bottom w:val="none" w:sz="0" w:space="0" w:color="auto"/>
            <w:right w:val="none" w:sz="0" w:space="0" w:color="auto"/>
          </w:divBdr>
        </w:div>
      </w:divsChild>
    </w:div>
    <w:div w:id="1451820153">
      <w:bodyDiv w:val="1"/>
      <w:marLeft w:val="0"/>
      <w:marRight w:val="0"/>
      <w:marTop w:val="0"/>
      <w:marBottom w:val="0"/>
      <w:divBdr>
        <w:top w:val="none" w:sz="0" w:space="0" w:color="auto"/>
        <w:left w:val="none" w:sz="0" w:space="0" w:color="auto"/>
        <w:bottom w:val="none" w:sz="0" w:space="0" w:color="auto"/>
        <w:right w:val="none" w:sz="0" w:space="0" w:color="auto"/>
      </w:divBdr>
      <w:divsChild>
        <w:div w:id="274867995">
          <w:marLeft w:val="0"/>
          <w:marRight w:val="0"/>
          <w:marTop w:val="0"/>
          <w:marBottom w:val="0"/>
          <w:divBdr>
            <w:top w:val="none" w:sz="0" w:space="0" w:color="auto"/>
            <w:left w:val="none" w:sz="0" w:space="0" w:color="auto"/>
            <w:bottom w:val="none" w:sz="0" w:space="0" w:color="auto"/>
            <w:right w:val="none" w:sz="0" w:space="0" w:color="auto"/>
          </w:divBdr>
          <w:divsChild>
            <w:div w:id="1131822782">
              <w:marLeft w:val="0"/>
              <w:marRight w:val="0"/>
              <w:marTop w:val="0"/>
              <w:marBottom w:val="0"/>
              <w:divBdr>
                <w:top w:val="none" w:sz="0" w:space="0" w:color="auto"/>
                <w:left w:val="none" w:sz="0" w:space="0" w:color="auto"/>
                <w:bottom w:val="none" w:sz="0" w:space="0" w:color="auto"/>
                <w:right w:val="none" w:sz="0" w:space="0" w:color="auto"/>
              </w:divBdr>
              <w:divsChild>
                <w:div w:id="1554386900">
                  <w:marLeft w:val="0"/>
                  <w:marRight w:val="0"/>
                  <w:marTop w:val="0"/>
                  <w:marBottom w:val="0"/>
                  <w:divBdr>
                    <w:top w:val="none" w:sz="0" w:space="0" w:color="auto"/>
                    <w:left w:val="none" w:sz="0" w:space="0" w:color="auto"/>
                    <w:bottom w:val="none" w:sz="0" w:space="0" w:color="auto"/>
                    <w:right w:val="none" w:sz="0" w:space="0" w:color="auto"/>
                  </w:divBdr>
                  <w:divsChild>
                    <w:div w:id="864169586">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sChild>
                            <w:div w:id="1787851613">
                              <w:marLeft w:val="300"/>
                              <w:marRight w:val="240"/>
                              <w:marTop w:val="0"/>
                              <w:marBottom w:val="0"/>
                              <w:divBdr>
                                <w:top w:val="none" w:sz="0" w:space="0" w:color="auto"/>
                                <w:left w:val="none" w:sz="0" w:space="0" w:color="auto"/>
                                <w:bottom w:val="none" w:sz="0" w:space="0" w:color="auto"/>
                                <w:right w:val="none" w:sz="0" w:space="0" w:color="auto"/>
                              </w:divBdr>
                              <w:divsChild>
                                <w:div w:id="1453401003">
                                  <w:marLeft w:val="0"/>
                                  <w:marRight w:val="0"/>
                                  <w:marTop w:val="0"/>
                                  <w:marBottom w:val="0"/>
                                  <w:divBdr>
                                    <w:top w:val="none" w:sz="0" w:space="0" w:color="auto"/>
                                    <w:left w:val="none" w:sz="0" w:space="0" w:color="auto"/>
                                    <w:bottom w:val="none" w:sz="0" w:space="0" w:color="auto"/>
                                    <w:right w:val="none" w:sz="0" w:space="0" w:color="auto"/>
                                  </w:divBdr>
                                  <w:divsChild>
                                    <w:div w:id="181672604">
                                      <w:marLeft w:val="0"/>
                                      <w:marRight w:val="0"/>
                                      <w:marTop w:val="0"/>
                                      <w:marBottom w:val="0"/>
                                      <w:divBdr>
                                        <w:top w:val="none" w:sz="0" w:space="0" w:color="auto"/>
                                        <w:left w:val="none" w:sz="0" w:space="0" w:color="auto"/>
                                        <w:bottom w:val="none" w:sz="0" w:space="0" w:color="auto"/>
                                        <w:right w:val="none" w:sz="0" w:space="0" w:color="auto"/>
                                      </w:divBdr>
                                      <w:divsChild>
                                        <w:div w:id="1978216848">
                                          <w:marLeft w:val="0"/>
                                          <w:marRight w:val="0"/>
                                          <w:marTop w:val="0"/>
                                          <w:marBottom w:val="0"/>
                                          <w:divBdr>
                                            <w:top w:val="none" w:sz="0" w:space="0" w:color="auto"/>
                                            <w:left w:val="none" w:sz="0" w:space="0" w:color="auto"/>
                                            <w:bottom w:val="none" w:sz="0" w:space="0" w:color="auto"/>
                                            <w:right w:val="none" w:sz="0" w:space="0" w:color="auto"/>
                                          </w:divBdr>
                                          <w:divsChild>
                                            <w:div w:id="1087920738">
                                              <w:marLeft w:val="0"/>
                                              <w:marRight w:val="0"/>
                                              <w:marTop w:val="0"/>
                                              <w:marBottom w:val="0"/>
                                              <w:divBdr>
                                                <w:top w:val="none" w:sz="0" w:space="0" w:color="auto"/>
                                                <w:left w:val="none" w:sz="0" w:space="0" w:color="auto"/>
                                                <w:bottom w:val="none" w:sz="0" w:space="0" w:color="auto"/>
                                                <w:right w:val="none" w:sz="0" w:space="0" w:color="auto"/>
                                              </w:divBdr>
                                              <w:divsChild>
                                                <w:div w:id="5166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864382">
      <w:bodyDiv w:val="1"/>
      <w:marLeft w:val="0"/>
      <w:marRight w:val="0"/>
      <w:marTop w:val="0"/>
      <w:marBottom w:val="0"/>
      <w:divBdr>
        <w:top w:val="none" w:sz="0" w:space="0" w:color="auto"/>
        <w:left w:val="none" w:sz="0" w:space="0" w:color="auto"/>
        <w:bottom w:val="none" w:sz="0" w:space="0" w:color="auto"/>
        <w:right w:val="none" w:sz="0" w:space="0" w:color="auto"/>
      </w:divBdr>
    </w:div>
    <w:div w:id="1860729193">
      <w:bodyDiv w:val="1"/>
      <w:marLeft w:val="240"/>
      <w:marRight w:val="240"/>
      <w:marTop w:val="0"/>
      <w:marBottom w:val="240"/>
      <w:divBdr>
        <w:top w:val="none" w:sz="0" w:space="0" w:color="auto"/>
        <w:left w:val="none" w:sz="0" w:space="0" w:color="auto"/>
        <w:bottom w:val="none" w:sz="0" w:space="0" w:color="auto"/>
        <w:right w:val="none" w:sz="0" w:space="0" w:color="auto"/>
      </w:divBdr>
      <w:divsChild>
        <w:div w:id="337082282">
          <w:marLeft w:val="0"/>
          <w:marRight w:val="-45"/>
          <w:marTop w:val="0"/>
          <w:marBottom w:val="0"/>
          <w:divBdr>
            <w:top w:val="none" w:sz="0" w:space="0" w:color="auto"/>
            <w:left w:val="none" w:sz="0" w:space="0" w:color="auto"/>
            <w:bottom w:val="none" w:sz="0" w:space="0" w:color="auto"/>
            <w:right w:val="none" w:sz="0" w:space="0" w:color="auto"/>
          </w:divBdr>
          <w:divsChild>
            <w:div w:id="1937906300">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d01.leggiditalia.it/cgi-bin/FulShow?TIPO=5&amp;NOTXT=1&amp;KEY=01LX0000108483ART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75D3-1EDE-4880-BCC1-47511846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1832</Words>
  <Characters>10446</Characters>
  <Application>Microsoft Office Word</Application>
  <DocSecurity>0</DocSecurity>
  <Lines>87</Lines>
  <Paragraphs>24</Paragraphs>
  <ScaleCrop>false</ScaleCrop>
  <HeadingPairs>
    <vt:vector size="4" baseType="variant">
      <vt:variant>
        <vt:lpstr>Titolo</vt:lpstr>
      </vt:variant>
      <vt:variant>
        <vt:i4>1</vt:i4>
      </vt:variant>
      <vt:variant>
        <vt:lpstr>Intestazioni</vt:lpstr>
      </vt:variant>
      <vt:variant>
        <vt:i4>18</vt:i4>
      </vt:variant>
    </vt:vector>
  </HeadingPairs>
  <TitlesOfParts>
    <vt:vector size="19" baseType="lpstr">
      <vt:lpstr/>
      <vt:lpstr>Testo:</vt:lpstr>
      <vt:lpstr>Tra le modalità di riscossione dello stipendio previste dal sistema NoiPA è oggi</vt:lpstr>
      <vt:lpstr/>
      <vt:lpstr>Cos’è una carta conto?</vt:lpstr>
      <vt:lpstr>La carta conto è una carta prepagata ricaricabile, attraverso la quale è possibi</vt:lpstr>
      <vt:lpstr/>
      <vt:lpstr>Qual è l’area SEPA?</vt:lpstr>
      <vt:lpstr>La SEPA, Single Euro Single Area (Area Unica dei Pagamenti in Euro) è l'area all</vt:lpstr>
      <vt:lpstr>Sono 31 i paesi europei che fanno parte della SEPA. Per saperne di più clicca qu</vt:lpstr>
      <vt:lpstr/>
      <vt:lpstr>Modalità di riscossione dello stipendio</vt:lpstr>
      <vt:lpstr>Per poter ricevere bonifici da parte del sistema NoiPA, utilizzando la carta con</vt:lpstr>
      <vt:lpstr/>
      <vt:lpstr>Si ricorda che, attraverso il servizio self service "Modalità di riscossione”, è</vt:lpstr>
      <vt:lpstr>Per ulteriori informazioni sul servizio self service “Modalità di riscossione de</vt:lpstr>
      <vt:lpstr/>
      <vt:lpstr/>
      <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S.Rori@almawave.it</dc:creator>
  <cp:lastModifiedBy>Salvitti Stelio</cp:lastModifiedBy>
  <cp:revision>9</cp:revision>
  <cp:lastPrinted>2013-10-09T15:05:00Z</cp:lastPrinted>
  <dcterms:created xsi:type="dcterms:W3CDTF">2014-03-07T09:47:00Z</dcterms:created>
  <dcterms:modified xsi:type="dcterms:W3CDTF">2014-03-13T16:17:00Z</dcterms:modified>
</cp:coreProperties>
</file>